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D66" w:rsidRPr="00B30B87" w:rsidRDefault="00CF7D66" w:rsidP="00CF7D66">
      <w:pPr>
        <w:pStyle w:val="1"/>
        <w:spacing w:before="0" w:after="0"/>
        <w:rPr>
          <w:kern w:val="0"/>
          <w:sz w:val="36"/>
          <w:szCs w:val="36"/>
        </w:rPr>
      </w:pPr>
      <w:bookmarkStart w:id="0" w:name="_Toc384739330"/>
      <w:r w:rsidRPr="00B30B87">
        <w:rPr>
          <w:rFonts w:cs="宋体" w:hint="eastAsia"/>
          <w:kern w:val="0"/>
          <w:sz w:val="36"/>
          <w:szCs w:val="36"/>
        </w:rPr>
        <w:t>四、可再生能源学院</w:t>
      </w:r>
      <w:bookmarkEnd w:id="0"/>
    </w:p>
    <w:p w:rsidR="00CF7D66" w:rsidRDefault="00CF7D66" w:rsidP="00CF7D66">
      <w:pPr>
        <w:pStyle w:val="2"/>
        <w:numPr>
          <w:ilvl w:val="0"/>
          <w:numId w:val="1"/>
        </w:numPr>
        <w:tabs>
          <w:tab w:val="left" w:pos="630"/>
        </w:tabs>
        <w:spacing w:before="0" w:after="0"/>
        <w:rPr>
          <w:rFonts w:cs="Times New Roman"/>
        </w:rPr>
      </w:pPr>
      <w:bookmarkStart w:id="1" w:name="_Toc384739331"/>
      <w:r w:rsidRPr="009D014C">
        <w:rPr>
          <w:rFonts w:cs="宋体" w:hint="eastAsia"/>
        </w:rPr>
        <w:t>流型协同理论及实现方法</w:t>
      </w:r>
      <w:bookmarkEnd w:id="1"/>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CF7D66">
        <w:rPr>
          <w:rFonts w:ascii="宋体" w:hAnsi="宋体" w:cs="宋体" w:hint="eastAsia"/>
          <w:kern w:val="0"/>
          <w:sz w:val="24"/>
          <w:szCs w:val="24"/>
          <w:fitText w:val="6960" w:id="660413440"/>
        </w:rPr>
        <w:t>中低温位能及新能源</w:t>
      </w:r>
      <w:r w:rsidRPr="00CF7D66">
        <w:rPr>
          <w:rFonts w:ascii="宋体" w:hAnsi="宋体" w:cs="宋体"/>
          <w:kern w:val="0"/>
          <w:sz w:val="24"/>
          <w:szCs w:val="24"/>
          <w:fitText w:val="6960" w:id="660413440"/>
        </w:rPr>
        <w:t>(</w:t>
      </w:r>
      <w:r w:rsidRPr="00CF7D66">
        <w:rPr>
          <w:rFonts w:ascii="宋体" w:hAnsi="宋体" w:cs="宋体" w:hint="eastAsia"/>
          <w:kern w:val="0"/>
          <w:sz w:val="24"/>
          <w:szCs w:val="24"/>
          <w:fitText w:val="6960" w:id="660413440"/>
        </w:rPr>
        <w:t>太阳能，地热能等</w:t>
      </w:r>
      <w:r w:rsidRPr="00CF7D66">
        <w:rPr>
          <w:rFonts w:ascii="宋体" w:hAnsi="宋体" w:cs="宋体"/>
          <w:kern w:val="0"/>
          <w:sz w:val="24"/>
          <w:szCs w:val="24"/>
          <w:fitText w:val="6960" w:id="660413440"/>
        </w:rPr>
        <w:t>)</w:t>
      </w:r>
      <w:r w:rsidRPr="00CF7D66">
        <w:rPr>
          <w:rFonts w:ascii="宋体" w:hAnsi="宋体" w:cs="宋体" w:hint="eastAsia"/>
          <w:kern w:val="0"/>
          <w:sz w:val="24"/>
          <w:szCs w:val="24"/>
          <w:fitText w:val="6960" w:id="660413440"/>
        </w:rPr>
        <w:t>利用系统中包括关键的能</w:t>
      </w:r>
      <w:r w:rsidRPr="00684C3E">
        <w:rPr>
          <w:rFonts w:ascii="宋体" w:hAnsi="宋体" w:cs="宋体" w:hint="eastAsia"/>
          <w:kern w:val="0"/>
          <w:sz w:val="24"/>
          <w:szCs w:val="24"/>
        </w:rPr>
        <w:t>量捕获、传递及热功转换环节，能量利用成本高，可靠性低，需要对传统利用模式及实现方法重新审视。针对大量使用的传热管中单相流动“近壁区流速小，中心区流速大”及多相传递中“液在管壁，气在中心”的关键科学问题，提出流型协同理论，主要思想是创造出与传统管内流动完全相反的相分布，即“气在管壁，液在中心”，实现管壁微米级薄液膜，使能量捕获或传递的效率成倍提升，与新能源苛刻的性能需求相适应。流型协同可通过在管内悬空插入柱状丝网结构来实现，构建了跨越丝网微米级微孔，毫米，到米级的跨尺度能量传输模型，进行了系统的冷热态实验，揭示了流型协同机理，为流型协同理论及关键技术的规模化应用奠定了理论基础。国际学术权威认定为原创成果，多次受邀在国际会议上做特邀报告。前期关于微纳流动与传热论文</w:t>
      </w:r>
      <w:r w:rsidRPr="00684C3E">
        <w:rPr>
          <w:rFonts w:ascii="宋体" w:hAnsi="宋体" w:cs="宋体"/>
          <w:kern w:val="0"/>
          <w:sz w:val="24"/>
          <w:szCs w:val="24"/>
        </w:rPr>
        <w:t xml:space="preserve">SCI </w:t>
      </w:r>
      <w:r w:rsidRPr="00684C3E">
        <w:rPr>
          <w:rFonts w:ascii="宋体" w:hAnsi="宋体" w:cs="宋体" w:hint="eastAsia"/>
          <w:kern w:val="0"/>
          <w:sz w:val="24"/>
          <w:szCs w:val="24"/>
        </w:rPr>
        <w:t>他引</w:t>
      </w:r>
      <w:r w:rsidRPr="00684C3E">
        <w:rPr>
          <w:rFonts w:ascii="宋体" w:hAnsi="宋体" w:cs="宋体"/>
          <w:kern w:val="0"/>
          <w:sz w:val="24"/>
          <w:szCs w:val="24"/>
        </w:rPr>
        <w:t xml:space="preserve">1000 </w:t>
      </w:r>
      <w:r w:rsidRPr="00684C3E">
        <w:rPr>
          <w:rFonts w:ascii="宋体" w:hAnsi="宋体" w:cs="宋体" w:hint="eastAsia"/>
          <w:kern w:val="0"/>
          <w:sz w:val="24"/>
          <w:szCs w:val="24"/>
        </w:rPr>
        <w:t>余次，获得</w:t>
      </w:r>
      <w:r w:rsidRPr="00684C3E">
        <w:rPr>
          <w:rFonts w:ascii="宋体" w:hAnsi="宋体" w:cs="宋体"/>
          <w:kern w:val="0"/>
          <w:sz w:val="24"/>
          <w:szCs w:val="24"/>
        </w:rPr>
        <w:t xml:space="preserve">2012 </w:t>
      </w:r>
      <w:r w:rsidRPr="00684C3E">
        <w:rPr>
          <w:rFonts w:ascii="宋体" w:hAnsi="宋体" w:cs="宋体" w:hint="eastAsia"/>
          <w:kern w:val="0"/>
          <w:sz w:val="24"/>
          <w:szCs w:val="24"/>
        </w:rPr>
        <w:t>年度教育部自然科学一等奖。</w:t>
      </w:r>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p>
    <w:p w:rsidR="00CF7D66" w:rsidRDefault="00CF7D66" w:rsidP="00CF7D66">
      <w:pPr>
        <w:autoSpaceDE w:val="0"/>
        <w:autoSpaceDN w:val="0"/>
        <w:adjustRightInd w:val="0"/>
        <w:ind w:firstLineChars="200" w:firstLine="480"/>
        <w:jc w:val="center"/>
        <w:rPr>
          <w:rFonts w:ascii="宋体" w:cs="Times New Roman"/>
          <w:kern w:val="0"/>
          <w:sz w:val="24"/>
          <w:szCs w:val="24"/>
        </w:rPr>
      </w:pPr>
      <w:r>
        <w:rPr>
          <w:rFonts w:ascii="宋体" w:cs="Times New Roman"/>
          <w:noProof/>
          <w:kern w:val="0"/>
          <w:sz w:val="24"/>
          <w:szCs w:val="24"/>
        </w:rPr>
        <w:drawing>
          <wp:inline distT="0" distB="0" distL="0" distR="0">
            <wp:extent cx="2552700" cy="31718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3171825"/>
                    </a:xfrm>
                    <a:prstGeom prst="rect">
                      <a:avLst/>
                    </a:prstGeom>
                    <a:noFill/>
                    <a:ln>
                      <a:noFill/>
                    </a:ln>
                  </pic:spPr>
                </pic:pic>
              </a:graphicData>
            </a:graphic>
          </wp:inline>
        </w:drawing>
      </w:r>
    </w:p>
    <w:p w:rsidR="00CF7D66" w:rsidRDefault="00CF7D66" w:rsidP="00CF7D66">
      <w:pPr>
        <w:autoSpaceDE w:val="0"/>
        <w:autoSpaceDN w:val="0"/>
        <w:adjustRightInd w:val="0"/>
        <w:ind w:firstLineChars="200" w:firstLine="480"/>
        <w:jc w:val="center"/>
        <w:rPr>
          <w:rFonts w:ascii="宋体" w:cs="Times New Roman"/>
          <w:kern w:val="0"/>
          <w:sz w:val="24"/>
          <w:szCs w:val="24"/>
        </w:rPr>
      </w:pPr>
    </w:p>
    <w:p w:rsidR="00CF7D66" w:rsidRDefault="00CF7D66" w:rsidP="00CF7D66">
      <w:pPr>
        <w:autoSpaceDE w:val="0"/>
        <w:autoSpaceDN w:val="0"/>
        <w:adjustRightInd w:val="0"/>
        <w:ind w:firstLineChars="200" w:firstLine="480"/>
        <w:jc w:val="center"/>
        <w:rPr>
          <w:rFonts w:ascii="宋体" w:cs="Times New Roman"/>
          <w:kern w:val="0"/>
          <w:sz w:val="24"/>
          <w:szCs w:val="24"/>
        </w:rPr>
      </w:pPr>
    </w:p>
    <w:p w:rsidR="00CF7D66" w:rsidRPr="00B30B87" w:rsidRDefault="00CF7D66" w:rsidP="00CF7D66">
      <w:pPr>
        <w:pStyle w:val="2"/>
        <w:numPr>
          <w:ilvl w:val="0"/>
          <w:numId w:val="1"/>
        </w:numPr>
        <w:tabs>
          <w:tab w:val="left" w:pos="630"/>
        </w:tabs>
        <w:rPr>
          <w:rFonts w:cs="Times New Roman"/>
        </w:rPr>
      </w:pPr>
      <w:bookmarkStart w:id="2" w:name="_Toc384739332"/>
      <w:r w:rsidRPr="00AC575F">
        <w:rPr>
          <w:rFonts w:cs="宋体" w:hint="eastAsia"/>
        </w:rPr>
        <w:lastRenderedPageBreak/>
        <w:t>洪灾风险管理理论研究</w:t>
      </w:r>
      <w:bookmarkEnd w:id="2"/>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711DF8">
        <w:rPr>
          <w:rFonts w:ascii="宋体" w:hAnsi="宋体" w:cs="宋体" w:hint="eastAsia"/>
          <w:kern w:val="0"/>
          <w:sz w:val="24"/>
          <w:szCs w:val="24"/>
        </w:rPr>
        <w:t>以长江流域防洪系统为背景，基于可持续发展理论，结合我国防洪实践，把防洪系统作为社会经济、生态环境复合系统中的重要组成部分，提出防洪减灾新的科学方法，创建洪灾风险管理理论体系，奠定防洪减灾保障体系新的理论基础，具体而言，即在剖析和描述各类主要洪涝灾害风险因子和作用机理基础上，以洪涝灾害损失的量化为重点，建立灾害损失模型和普适的洪涝灾害评价指标体系；研制基于遥感</w:t>
      </w:r>
      <w:r w:rsidRPr="00711DF8">
        <w:rPr>
          <w:rFonts w:ascii="宋体" w:hAnsi="宋体" w:cs="宋体"/>
          <w:kern w:val="0"/>
          <w:sz w:val="24"/>
          <w:szCs w:val="24"/>
        </w:rPr>
        <w:t>RS</w:t>
      </w:r>
      <w:r w:rsidRPr="00711DF8">
        <w:rPr>
          <w:rFonts w:ascii="宋体" w:hAnsi="宋体" w:cs="宋体" w:hint="eastAsia"/>
          <w:kern w:val="0"/>
          <w:sz w:val="24"/>
          <w:szCs w:val="24"/>
        </w:rPr>
        <w:t>、地理信息系统</w:t>
      </w:r>
      <w:r w:rsidRPr="00711DF8">
        <w:rPr>
          <w:rFonts w:ascii="宋体" w:hAnsi="宋体" w:cs="宋体"/>
          <w:kern w:val="0"/>
          <w:sz w:val="24"/>
          <w:szCs w:val="24"/>
        </w:rPr>
        <w:t xml:space="preserve">GIS </w:t>
      </w:r>
      <w:r w:rsidRPr="00711DF8">
        <w:rPr>
          <w:rFonts w:ascii="宋体" w:hAnsi="宋体" w:cs="宋体" w:hint="eastAsia"/>
          <w:kern w:val="0"/>
          <w:sz w:val="24"/>
          <w:szCs w:val="24"/>
        </w:rPr>
        <w:t>和灾害损失模型的快速评估集成系统；补充和完善快速评估理论；借鉴国内外防洪减灾成功的理论与实践，建立洪泛区和分蓄洪区洪涝灾害场景模拟模型和风险分析方法，建立用于指导洪泛区和分蓄洪区和分蓄洪区风险管理体系；针对区域（流域）防洪减灾体系，探讨综合风险的辨识、演变及转化机理，建立综合风险评估理论和方法，发展防洪减灾体系风险决策模型与技术。以期形成具有多学科交叉特色的新的风险管理理论体系。</w:t>
      </w:r>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p>
    <w:p w:rsidR="00CF7D66" w:rsidRPr="00711DF8" w:rsidRDefault="00CF7D66" w:rsidP="00CF7D66">
      <w:pPr>
        <w:autoSpaceDE w:val="0"/>
        <w:autoSpaceDN w:val="0"/>
        <w:adjustRightInd w:val="0"/>
        <w:spacing w:line="360" w:lineRule="auto"/>
        <w:ind w:firstLineChars="200" w:firstLine="480"/>
        <w:jc w:val="left"/>
        <w:rPr>
          <w:rFonts w:ascii="宋体" w:cs="Times New Roman"/>
          <w:kern w:val="0"/>
          <w:sz w:val="24"/>
          <w:szCs w:val="24"/>
        </w:rPr>
      </w:pPr>
    </w:p>
    <w:p w:rsidR="00CF7D66" w:rsidRDefault="00CF7D66" w:rsidP="00CF7D66">
      <w:pPr>
        <w:ind w:firstLineChars="200" w:firstLine="480"/>
        <w:jc w:val="center"/>
        <w:rPr>
          <w:rFonts w:cs="Times New Roman"/>
          <w:sz w:val="24"/>
          <w:szCs w:val="24"/>
        </w:rPr>
      </w:pPr>
      <w:r>
        <w:rPr>
          <w:rFonts w:cs="Times New Roman"/>
          <w:noProof/>
          <w:sz w:val="24"/>
          <w:szCs w:val="24"/>
        </w:rPr>
        <w:drawing>
          <wp:inline distT="0" distB="0" distL="0" distR="0">
            <wp:extent cx="2552700" cy="36861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3686175"/>
                    </a:xfrm>
                    <a:prstGeom prst="rect">
                      <a:avLst/>
                    </a:prstGeom>
                    <a:noFill/>
                    <a:ln>
                      <a:noFill/>
                    </a:ln>
                  </pic:spPr>
                </pic:pic>
              </a:graphicData>
            </a:graphic>
          </wp:inline>
        </w:drawing>
      </w:r>
    </w:p>
    <w:p w:rsidR="00CF7D66" w:rsidRDefault="00CF7D66" w:rsidP="00CF7D66">
      <w:pPr>
        <w:ind w:firstLineChars="200" w:firstLine="480"/>
        <w:jc w:val="center"/>
        <w:rPr>
          <w:rFonts w:cs="Times New Roman"/>
          <w:sz w:val="24"/>
          <w:szCs w:val="24"/>
        </w:rPr>
      </w:pPr>
    </w:p>
    <w:p w:rsidR="00CF7D66" w:rsidRDefault="00CF7D66" w:rsidP="00CF7D66">
      <w:pPr>
        <w:ind w:firstLineChars="200" w:firstLine="480"/>
        <w:jc w:val="center"/>
        <w:rPr>
          <w:rFonts w:cs="Times New Roman"/>
          <w:sz w:val="24"/>
          <w:szCs w:val="24"/>
        </w:rPr>
      </w:pPr>
    </w:p>
    <w:p w:rsidR="00CF7D66" w:rsidRPr="00B30B87" w:rsidRDefault="00CF7D66" w:rsidP="00CF7D66">
      <w:pPr>
        <w:pStyle w:val="2"/>
        <w:numPr>
          <w:ilvl w:val="0"/>
          <w:numId w:val="1"/>
        </w:numPr>
        <w:tabs>
          <w:tab w:val="left" w:pos="630"/>
        </w:tabs>
        <w:rPr>
          <w:rFonts w:cs="Times New Roman"/>
        </w:rPr>
      </w:pPr>
      <w:bookmarkStart w:id="3" w:name="_Toc384739333"/>
      <w:r w:rsidRPr="002153CE">
        <w:rPr>
          <w:rFonts w:cs="宋体" w:hint="eastAsia"/>
        </w:rPr>
        <w:lastRenderedPageBreak/>
        <w:t>生物质热解气化多相流动反应机制和应用基础</w:t>
      </w:r>
      <w:bookmarkEnd w:id="3"/>
    </w:p>
    <w:p w:rsidR="00CF7D66" w:rsidRPr="002153CE"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2153CE">
        <w:rPr>
          <w:rFonts w:ascii="宋体" w:hAnsi="宋体" w:cs="宋体" w:hint="eastAsia"/>
          <w:kern w:val="0"/>
          <w:sz w:val="24"/>
          <w:szCs w:val="24"/>
        </w:rPr>
        <w:t>针对生物质热解气化关键技术，开展了理论分析、实验研究、数值模拟和工程验证，构筑了与多元化原料的传递过程、反应环境和装置型式，为生物质能源清洁利用提供了理论支撑。</w:t>
      </w:r>
    </w:p>
    <w:p w:rsidR="00CF7D66" w:rsidRPr="002153CE"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2153CE">
        <w:rPr>
          <w:rFonts w:ascii="宋体" w:hAnsi="宋体" w:cs="宋体" w:hint="eastAsia"/>
          <w:kern w:val="0"/>
          <w:sz w:val="24"/>
          <w:szCs w:val="24"/>
        </w:rPr>
        <w:t>主要创新点：</w:t>
      </w:r>
    </w:p>
    <w:p w:rsidR="00CF7D66" w:rsidRPr="002153CE"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2153CE">
        <w:rPr>
          <w:rFonts w:ascii="宋体" w:hAnsi="宋体" w:cs="宋体" w:hint="eastAsia"/>
          <w:kern w:val="0"/>
          <w:sz w:val="24"/>
          <w:szCs w:val="24"/>
        </w:rPr>
        <w:t>揭示了锥形床含宽粒径分布生物质双组分体系的流态化特性；</w:t>
      </w:r>
    </w:p>
    <w:p w:rsidR="00CF7D66" w:rsidRPr="002153CE"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2153CE">
        <w:rPr>
          <w:rFonts w:ascii="宋体" w:hAnsi="宋体" w:cs="宋体" w:hint="eastAsia"/>
          <w:kern w:val="0"/>
          <w:sz w:val="24"/>
          <w:szCs w:val="24"/>
        </w:rPr>
        <w:t>建立了挥发分析出和气化反应的宏观动力学模型；</w:t>
      </w:r>
    </w:p>
    <w:p w:rsidR="00CF7D66" w:rsidRPr="002153CE"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2153CE">
        <w:rPr>
          <w:rFonts w:ascii="宋体" w:hAnsi="宋体" w:cs="宋体" w:hint="eastAsia"/>
          <w:kern w:val="0"/>
          <w:sz w:val="24"/>
          <w:szCs w:val="24"/>
        </w:rPr>
        <w:t>提出了流化床内多相流动和传热放大方法。</w:t>
      </w:r>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2153CE">
        <w:rPr>
          <w:rFonts w:ascii="宋体" w:hAnsi="宋体" w:cs="宋体" w:hint="eastAsia"/>
          <w:kern w:val="0"/>
          <w:sz w:val="24"/>
          <w:szCs w:val="24"/>
        </w:rPr>
        <w:t>在</w:t>
      </w:r>
      <w:r w:rsidRPr="002153CE">
        <w:rPr>
          <w:rFonts w:ascii="宋体" w:hAnsi="宋体" w:cs="宋体"/>
          <w:kern w:val="0"/>
          <w:sz w:val="24"/>
          <w:szCs w:val="24"/>
        </w:rPr>
        <w:t>Biomass Technology</w:t>
      </w:r>
      <w:r w:rsidRPr="002153CE">
        <w:rPr>
          <w:rFonts w:ascii="宋体" w:hAnsi="宋体" w:cs="宋体" w:hint="eastAsia"/>
          <w:kern w:val="0"/>
          <w:sz w:val="24"/>
          <w:szCs w:val="24"/>
        </w:rPr>
        <w:t>、</w:t>
      </w:r>
      <w:r w:rsidRPr="002153CE">
        <w:rPr>
          <w:rFonts w:ascii="宋体" w:hAnsi="宋体" w:cs="宋体"/>
          <w:kern w:val="0"/>
          <w:sz w:val="24"/>
          <w:szCs w:val="24"/>
        </w:rPr>
        <w:t xml:space="preserve">Fuel </w:t>
      </w:r>
      <w:r w:rsidRPr="002153CE">
        <w:rPr>
          <w:rFonts w:ascii="宋体" w:hAnsi="宋体" w:cs="宋体" w:hint="eastAsia"/>
          <w:kern w:val="0"/>
          <w:sz w:val="24"/>
          <w:szCs w:val="24"/>
        </w:rPr>
        <w:t>和</w:t>
      </w:r>
      <w:r w:rsidRPr="002153CE">
        <w:rPr>
          <w:rFonts w:ascii="宋体" w:hAnsi="宋体" w:cs="宋体"/>
          <w:kern w:val="0"/>
          <w:sz w:val="24"/>
          <w:szCs w:val="24"/>
        </w:rPr>
        <w:t xml:space="preserve">Chemical Engineering Science </w:t>
      </w:r>
      <w:r w:rsidRPr="002153CE">
        <w:rPr>
          <w:rFonts w:ascii="宋体" w:hAnsi="宋体" w:cs="宋体" w:hint="eastAsia"/>
          <w:kern w:val="0"/>
          <w:sz w:val="24"/>
          <w:szCs w:val="24"/>
        </w:rPr>
        <w:t>等生物质、能源和化工领域国际知名刊物发表多篇学术论文，参与撰写专著《</w:t>
      </w:r>
      <w:r w:rsidRPr="002153CE">
        <w:rPr>
          <w:rFonts w:ascii="宋体" w:hAnsi="宋体" w:cs="宋体"/>
          <w:kern w:val="0"/>
          <w:sz w:val="24"/>
          <w:szCs w:val="24"/>
        </w:rPr>
        <w:t xml:space="preserve">Computational Fluid Dynamics Modeling in Development of </w:t>
      </w:r>
      <w:proofErr w:type="spellStart"/>
      <w:r w:rsidRPr="002153CE">
        <w:rPr>
          <w:rFonts w:ascii="宋体" w:hAnsi="宋体" w:cs="宋体"/>
          <w:kern w:val="0"/>
          <w:sz w:val="24"/>
          <w:szCs w:val="24"/>
        </w:rPr>
        <w:t>RenewableEnergy</w:t>
      </w:r>
      <w:proofErr w:type="spellEnd"/>
      <w:r w:rsidRPr="002153CE">
        <w:rPr>
          <w:rFonts w:ascii="宋体" w:hAnsi="宋体" w:cs="宋体"/>
          <w:kern w:val="0"/>
          <w:sz w:val="24"/>
          <w:szCs w:val="24"/>
        </w:rPr>
        <w:t xml:space="preserve"> Applications</w:t>
      </w:r>
      <w:r w:rsidRPr="002153CE">
        <w:rPr>
          <w:rFonts w:ascii="宋体" w:hAnsi="宋体" w:cs="宋体" w:hint="eastAsia"/>
          <w:kern w:val="0"/>
          <w:sz w:val="24"/>
          <w:szCs w:val="24"/>
        </w:rPr>
        <w:t>》，理论研究得到国内外同行高度评价，获得专利</w:t>
      </w:r>
      <w:r w:rsidRPr="002153CE">
        <w:rPr>
          <w:rFonts w:ascii="宋体" w:hAnsi="宋体" w:cs="宋体"/>
          <w:kern w:val="0"/>
          <w:sz w:val="24"/>
          <w:szCs w:val="24"/>
        </w:rPr>
        <w:t xml:space="preserve">10 </w:t>
      </w:r>
      <w:r w:rsidRPr="002153CE">
        <w:rPr>
          <w:rFonts w:ascii="宋体" w:hAnsi="宋体" w:cs="宋体" w:hint="eastAsia"/>
          <w:kern w:val="0"/>
          <w:sz w:val="24"/>
          <w:szCs w:val="24"/>
        </w:rPr>
        <w:t>余项，获</w:t>
      </w:r>
      <w:r w:rsidRPr="002153CE">
        <w:rPr>
          <w:rFonts w:ascii="宋体" w:hAnsi="宋体" w:cs="宋体"/>
          <w:kern w:val="0"/>
          <w:sz w:val="24"/>
          <w:szCs w:val="24"/>
        </w:rPr>
        <w:t xml:space="preserve">2012 </w:t>
      </w:r>
      <w:r w:rsidRPr="002153CE">
        <w:rPr>
          <w:rFonts w:ascii="宋体" w:hAnsi="宋体" w:cs="宋体" w:hint="eastAsia"/>
          <w:kern w:val="0"/>
          <w:sz w:val="24"/>
          <w:szCs w:val="24"/>
        </w:rPr>
        <w:t>年教育部自然科学二等奖。</w:t>
      </w:r>
    </w:p>
    <w:p w:rsidR="00CF7D66" w:rsidRDefault="00CF7D66" w:rsidP="00CF7D66">
      <w:pPr>
        <w:autoSpaceDE w:val="0"/>
        <w:autoSpaceDN w:val="0"/>
        <w:adjustRightInd w:val="0"/>
        <w:ind w:firstLineChars="200" w:firstLine="480"/>
        <w:jc w:val="left"/>
        <w:rPr>
          <w:rFonts w:ascii="宋体" w:cs="Times New Roman"/>
          <w:kern w:val="0"/>
          <w:sz w:val="24"/>
          <w:szCs w:val="24"/>
        </w:rPr>
      </w:pPr>
    </w:p>
    <w:p w:rsidR="00CF7D66" w:rsidRPr="00AC575F" w:rsidRDefault="00CF7D66" w:rsidP="00CF7D66">
      <w:pPr>
        <w:autoSpaceDE w:val="0"/>
        <w:autoSpaceDN w:val="0"/>
        <w:adjustRightInd w:val="0"/>
        <w:ind w:firstLineChars="200" w:firstLine="562"/>
        <w:jc w:val="center"/>
        <w:rPr>
          <w:rFonts w:ascii="宋体" w:cs="Times New Roman"/>
          <w:b/>
          <w:bCs/>
          <w:kern w:val="0"/>
          <w:sz w:val="28"/>
          <w:szCs w:val="28"/>
        </w:rPr>
      </w:pPr>
      <w:r>
        <w:rPr>
          <w:rFonts w:ascii="宋体" w:cs="Times New Roman"/>
          <w:b/>
          <w:bCs/>
          <w:noProof/>
          <w:kern w:val="0"/>
          <w:sz w:val="28"/>
          <w:szCs w:val="28"/>
        </w:rPr>
        <w:drawing>
          <wp:inline distT="0" distB="0" distL="0" distR="0">
            <wp:extent cx="2352675" cy="34099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3409950"/>
                    </a:xfrm>
                    <a:prstGeom prst="rect">
                      <a:avLst/>
                    </a:prstGeom>
                    <a:noFill/>
                    <a:ln>
                      <a:noFill/>
                    </a:ln>
                  </pic:spPr>
                </pic:pic>
              </a:graphicData>
            </a:graphic>
          </wp:inline>
        </w:drawing>
      </w:r>
    </w:p>
    <w:p w:rsidR="00CF7D66" w:rsidRDefault="00CF7D66" w:rsidP="00CF7D66">
      <w:pPr>
        <w:rPr>
          <w:rFonts w:cs="Times New Roman"/>
          <w:sz w:val="24"/>
          <w:szCs w:val="24"/>
        </w:rPr>
      </w:pPr>
    </w:p>
    <w:p w:rsidR="00CF7D66" w:rsidRPr="00B30B87" w:rsidRDefault="00CF7D66" w:rsidP="00CF7D66">
      <w:pPr>
        <w:pStyle w:val="2"/>
        <w:numPr>
          <w:ilvl w:val="0"/>
          <w:numId w:val="1"/>
        </w:numPr>
        <w:tabs>
          <w:tab w:val="left" w:pos="630"/>
        </w:tabs>
        <w:rPr>
          <w:rFonts w:cs="Times New Roman"/>
        </w:rPr>
      </w:pPr>
      <w:bookmarkStart w:id="4" w:name="_Toc384739334"/>
      <w:r w:rsidRPr="00573C13">
        <w:rPr>
          <w:rFonts w:cs="宋体" w:hint="eastAsia"/>
        </w:rPr>
        <w:lastRenderedPageBreak/>
        <w:t>生物质电站安全经济运行关键技术</w:t>
      </w:r>
      <w:bookmarkEnd w:id="4"/>
    </w:p>
    <w:p w:rsidR="00CF7D66" w:rsidRPr="00711DF8"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711DF8">
        <w:rPr>
          <w:rFonts w:ascii="宋体" w:hAnsi="宋体" w:cs="宋体" w:hint="eastAsia"/>
          <w:kern w:val="0"/>
          <w:sz w:val="24"/>
          <w:szCs w:val="24"/>
        </w:rPr>
        <w:t>生物质直燃发电行业近年来在我国发展迅速，以引进、吸收国外技术为主。由于生物质在水分、碱金属和氯含量等方面存在巨大差异，引进设备的适应性受到挑战。结合我国国情，本项目从燃料特性与干燥预处理、炉膛结构优化设计、受热面防磨防腐防结焦和灰渣残余能量回收四个方面进行了研究。</w:t>
      </w:r>
    </w:p>
    <w:p w:rsidR="00CF7D66" w:rsidRPr="00711DF8"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711DF8">
        <w:rPr>
          <w:rFonts w:ascii="宋体" w:hAnsi="宋体" w:cs="宋体" w:hint="eastAsia"/>
          <w:kern w:val="0"/>
          <w:sz w:val="24"/>
          <w:szCs w:val="24"/>
        </w:rPr>
        <w:t>获得授权专利和软件著作权</w:t>
      </w:r>
      <w:r w:rsidRPr="00711DF8">
        <w:rPr>
          <w:rFonts w:ascii="宋体" w:hAnsi="宋体" w:cs="宋体"/>
          <w:kern w:val="0"/>
          <w:sz w:val="24"/>
          <w:szCs w:val="24"/>
        </w:rPr>
        <w:t xml:space="preserve">22 </w:t>
      </w:r>
      <w:r w:rsidRPr="00711DF8">
        <w:rPr>
          <w:rFonts w:ascii="宋体" w:hAnsi="宋体" w:cs="宋体" w:hint="eastAsia"/>
          <w:kern w:val="0"/>
          <w:sz w:val="24"/>
          <w:szCs w:val="24"/>
        </w:rPr>
        <w:t>项，承担国家能源领域生物质相关三项标准的制定。项目成果通过了教育部成果鉴定，鉴定意见认为本项目对我国生物质直燃发电进行了全面系统深入的研究，克服和弥补了在燃烧效率、关键部件寿命、结渣和腐蚀等方面的不足，总体处于国际先进水平。</w:t>
      </w:r>
    </w:p>
    <w:p w:rsidR="00CF7D66" w:rsidRPr="00711DF8"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711DF8">
        <w:rPr>
          <w:rFonts w:ascii="宋体" w:hAnsi="宋体" w:cs="宋体" w:hint="eastAsia"/>
          <w:kern w:val="0"/>
          <w:sz w:val="24"/>
          <w:szCs w:val="24"/>
        </w:rPr>
        <w:t>项目成果已在全国</w:t>
      </w:r>
      <w:r w:rsidRPr="00711DF8">
        <w:rPr>
          <w:rFonts w:ascii="宋体" w:hAnsi="宋体" w:cs="宋体"/>
          <w:kern w:val="0"/>
          <w:sz w:val="24"/>
          <w:szCs w:val="24"/>
        </w:rPr>
        <w:t xml:space="preserve">30 </w:t>
      </w:r>
      <w:r w:rsidRPr="00711DF8">
        <w:rPr>
          <w:rFonts w:ascii="宋体" w:hAnsi="宋体" w:cs="宋体" w:hint="eastAsia"/>
          <w:kern w:val="0"/>
          <w:sz w:val="24"/>
          <w:szCs w:val="24"/>
        </w:rPr>
        <w:t>余家生物质电站成功应用。我国生物质发电装机容量</w:t>
      </w:r>
      <w:r w:rsidRPr="00711DF8">
        <w:rPr>
          <w:rFonts w:ascii="宋体" w:hAnsi="宋体" w:cs="宋体"/>
          <w:kern w:val="0"/>
          <w:sz w:val="24"/>
          <w:szCs w:val="24"/>
        </w:rPr>
        <w:t xml:space="preserve">2015 </w:t>
      </w:r>
      <w:r w:rsidRPr="00711DF8">
        <w:rPr>
          <w:rFonts w:ascii="宋体" w:hAnsi="宋体" w:cs="宋体" w:hint="eastAsia"/>
          <w:kern w:val="0"/>
          <w:sz w:val="24"/>
          <w:szCs w:val="24"/>
        </w:rPr>
        <w:t>年预计达到</w:t>
      </w:r>
      <w:r w:rsidRPr="00711DF8">
        <w:rPr>
          <w:rFonts w:ascii="宋体" w:hAnsi="宋体" w:cs="宋体"/>
          <w:kern w:val="0"/>
          <w:sz w:val="24"/>
          <w:szCs w:val="24"/>
        </w:rPr>
        <w:t>13000MW</w:t>
      </w:r>
      <w:r w:rsidRPr="00711DF8">
        <w:rPr>
          <w:rFonts w:ascii="宋体" w:hAnsi="宋体" w:cs="宋体" w:hint="eastAsia"/>
          <w:kern w:val="0"/>
          <w:sz w:val="24"/>
          <w:szCs w:val="24"/>
        </w:rPr>
        <w:t>，该成果的推广可形节约标煤</w:t>
      </w:r>
      <w:r w:rsidRPr="00711DF8">
        <w:rPr>
          <w:rFonts w:ascii="宋体" w:hAnsi="宋体" w:cs="宋体"/>
          <w:kern w:val="0"/>
          <w:sz w:val="24"/>
          <w:szCs w:val="24"/>
        </w:rPr>
        <w:t xml:space="preserve">90 </w:t>
      </w:r>
      <w:r w:rsidRPr="00711DF8">
        <w:rPr>
          <w:rFonts w:ascii="宋体" w:hAnsi="宋体" w:cs="宋体" w:hint="eastAsia"/>
          <w:kern w:val="0"/>
          <w:sz w:val="24"/>
          <w:szCs w:val="24"/>
        </w:rPr>
        <w:t>万吨</w:t>
      </w:r>
      <w:r w:rsidRPr="00711DF8">
        <w:rPr>
          <w:rFonts w:ascii="宋体" w:hAnsi="宋体" w:cs="宋体"/>
          <w:kern w:val="0"/>
          <w:sz w:val="24"/>
          <w:szCs w:val="24"/>
        </w:rPr>
        <w:t>/</w:t>
      </w:r>
      <w:r w:rsidRPr="00711DF8">
        <w:rPr>
          <w:rFonts w:ascii="宋体" w:hAnsi="宋体" w:cs="宋体" w:hint="eastAsia"/>
          <w:kern w:val="0"/>
          <w:sz w:val="24"/>
          <w:szCs w:val="24"/>
        </w:rPr>
        <w:t>年的能力，具有显著的经济效益和社会效益。</w:t>
      </w: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Default="00CF7D66" w:rsidP="00CF7D66">
      <w:pPr>
        <w:ind w:firstLineChars="200" w:firstLine="480"/>
        <w:rPr>
          <w:rFonts w:ascii="宋体" w:cs="Times New Roman"/>
          <w:sz w:val="24"/>
          <w:szCs w:val="24"/>
        </w:rPr>
      </w:pPr>
    </w:p>
    <w:p w:rsidR="00CF7D66" w:rsidRPr="00B30B87" w:rsidRDefault="00CF7D66" w:rsidP="00CF7D66">
      <w:pPr>
        <w:pStyle w:val="2"/>
        <w:numPr>
          <w:ilvl w:val="0"/>
          <w:numId w:val="1"/>
        </w:numPr>
        <w:tabs>
          <w:tab w:val="left" w:pos="630"/>
        </w:tabs>
        <w:rPr>
          <w:rFonts w:cs="Times New Roman"/>
        </w:rPr>
      </w:pPr>
      <w:bookmarkStart w:id="5" w:name="_Toc384739335"/>
      <w:r w:rsidRPr="002D54F6">
        <w:rPr>
          <w:rFonts w:cs="宋体" w:hint="eastAsia"/>
        </w:rPr>
        <w:lastRenderedPageBreak/>
        <w:t>新型微纳结构太阳能电池的设计与开发</w:t>
      </w:r>
      <w:bookmarkEnd w:id="5"/>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711DF8">
        <w:rPr>
          <w:rFonts w:ascii="宋体" w:hAnsi="宋体" w:cs="宋体" w:hint="eastAsia"/>
          <w:kern w:val="0"/>
          <w:sz w:val="24"/>
          <w:szCs w:val="24"/>
        </w:rPr>
        <w:t>大力发展可再生能源与清洁能源是实现社会可持续发展的有利措施。太阳能是一种清洁的可再生能源，开发低成本、高效率的太阳能电池可促进社会与经济的可持续发展。迄今为止，降低成本与提高效率一直是光伏领域急需突破的技术难题。本研究从纳米材料与结构出发，设计与研制新型高效的微纳结构太阳能电池，开发电池的柔性功能。利用纳米材料与结构，设计并研制了染料敏化太阳能电池与硅微纳结构太阳能电池，为太阳能电池的增效手段与新型太阳能电池的低成本制作奠定了技术基础。同时，开发的超薄硅片与柔性硅微纳结构薄膜的制作技术，可应用于设计柔性太阳能电池，将进一步拓宽太阳能电池的应用领域。本项目发表</w:t>
      </w:r>
      <w:r w:rsidRPr="00711DF8">
        <w:rPr>
          <w:rFonts w:ascii="宋体" w:hAnsi="宋体" w:cs="宋体"/>
          <w:kern w:val="0"/>
          <w:sz w:val="24"/>
          <w:szCs w:val="24"/>
        </w:rPr>
        <w:t xml:space="preserve">SCI </w:t>
      </w:r>
      <w:r w:rsidRPr="00711DF8">
        <w:rPr>
          <w:rFonts w:ascii="宋体" w:hAnsi="宋体" w:cs="宋体" w:hint="eastAsia"/>
          <w:kern w:val="0"/>
          <w:sz w:val="24"/>
          <w:szCs w:val="24"/>
        </w:rPr>
        <w:t>论文</w:t>
      </w:r>
      <w:r w:rsidRPr="00711DF8">
        <w:rPr>
          <w:rFonts w:ascii="宋体" w:hAnsi="宋体" w:cs="宋体"/>
          <w:kern w:val="0"/>
          <w:sz w:val="24"/>
          <w:szCs w:val="24"/>
        </w:rPr>
        <w:t xml:space="preserve">20 </w:t>
      </w:r>
      <w:r w:rsidRPr="00711DF8">
        <w:rPr>
          <w:rFonts w:ascii="宋体" w:hAnsi="宋体" w:cs="宋体" w:hint="eastAsia"/>
          <w:kern w:val="0"/>
          <w:sz w:val="24"/>
          <w:szCs w:val="24"/>
        </w:rPr>
        <w:t>余篇，申请专利</w:t>
      </w:r>
      <w:r w:rsidRPr="00711DF8">
        <w:rPr>
          <w:rFonts w:ascii="宋体" w:hAnsi="宋体" w:cs="宋体"/>
          <w:kern w:val="0"/>
          <w:sz w:val="24"/>
          <w:szCs w:val="24"/>
        </w:rPr>
        <w:t xml:space="preserve">30 </w:t>
      </w:r>
      <w:r w:rsidRPr="00711DF8">
        <w:rPr>
          <w:rFonts w:ascii="宋体" w:hAnsi="宋体" w:cs="宋体" w:hint="eastAsia"/>
          <w:kern w:val="0"/>
          <w:sz w:val="24"/>
          <w:szCs w:val="24"/>
        </w:rPr>
        <w:t>余项，获得授权</w:t>
      </w:r>
      <w:r w:rsidRPr="00711DF8">
        <w:rPr>
          <w:rFonts w:ascii="宋体" w:hAnsi="宋体" w:cs="宋体"/>
          <w:kern w:val="0"/>
          <w:sz w:val="24"/>
          <w:szCs w:val="24"/>
        </w:rPr>
        <w:t xml:space="preserve">11 </w:t>
      </w:r>
      <w:r w:rsidRPr="00711DF8">
        <w:rPr>
          <w:rFonts w:ascii="宋体" w:hAnsi="宋体" w:cs="宋体" w:hint="eastAsia"/>
          <w:kern w:val="0"/>
          <w:sz w:val="24"/>
          <w:szCs w:val="24"/>
        </w:rPr>
        <w:t>项。所报道的研究成果受到国内外同行关注。</w:t>
      </w:r>
    </w:p>
    <w:tbl>
      <w:tblPr>
        <w:tblpPr w:leftFromText="180" w:rightFromText="180" w:vertAnchor="page" w:horzAnchor="margin" w:tblpXSpec="center" w:tblpY="7369"/>
        <w:tblW w:w="0" w:type="auto"/>
        <w:tblLook w:val="01E0" w:firstRow="1" w:lastRow="1" w:firstColumn="1" w:lastColumn="1" w:noHBand="0" w:noVBand="0"/>
      </w:tblPr>
      <w:tblGrid>
        <w:gridCol w:w="5586"/>
      </w:tblGrid>
      <w:tr w:rsidR="00CF7D66" w:rsidTr="001519AE">
        <w:tc>
          <w:tcPr>
            <w:tcW w:w="4281" w:type="dxa"/>
          </w:tcPr>
          <w:p w:rsidR="00CF7D66" w:rsidRPr="001117E0" w:rsidRDefault="00CF7D66" w:rsidP="001519AE">
            <w:pPr>
              <w:autoSpaceDE w:val="0"/>
              <w:autoSpaceDN w:val="0"/>
              <w:adjustRightInd w:val="0"/>
              <w:spacing w:line="360" w:lineRule="auto"/>
              <w:jc w:val="center"/>
              <w:rPr>
                <w:rFonts w:ascii="宋体" w:cs="Times New Roman"/>
                <w:kern w:val="0"/>
                <w:sz w:val="24"/>
                <w:szCs w:val="24"/>
              </w:rPr>
            </w:pPr>
            <w:r>
              <w:rPr>
                <w:rFonts w:ascii="宋体" w:cs="Times New Roman"/>
                <w:noProof/>
                <w:sz w:val="24"/>
                <w:szCs w:val="24"/>
              </w:rPr>
              <w:drawing>
                <wp:inline distT="0" distB="0" distL="0" distR="0">
                  <wp:extent cx="3362325" cy="19431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1943100"/>
                          </a:xfrm>
                          <a:prstGeom prst="rect">
                            <a:avLst/>
                          </a:prstGeom>
                          <a:noFill/>
                          <a:ln>
                            <a:noFill/>
                          </a:ln>
                        </pic:spPr>
                      </pic:pic>
                    </a:graphicData>
                  </a:graphic>
                </wp:inline>
              </w:drawing>
            </w:r>
          </w:p>
        </w:tc>
      </w:tr>
      <w:tr w:rsidR="00CF7D66" w:rsidTr="001519AE">
        <w:tc>
          <w:tcPr>
            <w:tcW w:w="4281" w:type="dxa"/>
          </w:tcPr>
          <w:p w:rsidR="00CF7D66" w:rsidRPr="001117E0" w:rsidRDefault="00CF7D66" w:rsidP="001519AE">
            <w:pPr>
              <w:autoSpaceDE w:val="0"/>
              <w:autoSpaceDN w:val="0"/>
              <w:adjustRightInd w:val="0"/>
              <w:spacing w:line="360" w:lineRule="auto"/>
              <w:jc w:val="center"/>
              <w:rPr>
                <w:rFonts w:ascii="宋体" w:cs="Times New Roman"/>
                <w:kern w:val="0"/>
                <w:sz w:val="24"/>
                <w:szCs w:val="24"/>
              </w:rPr>
            </w:pPr>
            <w:r>
              <w:rPr>
                <w:rFonts w:ascii="宋体" w:cs="Times New Roman"/>
                <w:noProof/>
                <w:sz w:val="24"/>
                <w:szCs w:val="24"/>
              </w:rPr>
              <w:drawing>
                <wp:inline distT="0" distB="0" distL="0" distR="0">
                  <wp:extent cx="3400425" cy="21145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2114550"/>
                          </a:xfrm>
                          <a:prstGeom prst="rect">
                            <a:avLst/>
                          </a:prstGeom>
                          <a:noFill/>
                          <a:ln>
                            <a:noFill/>
                          </a:ln>
                        </pic:spPr>
                      </pic:pic>
                    </a:graphicData>
                  </a:graphic>
                </wp:inline>
              </w:drawing>
            </w:r>
          </w:p>
        </w:tc>
      </w:tr>
    </w:tbl>
    <w:p w:rsidR="00CF7D66" w:rsidRPr="00711DF8" w:rsidRDefault="00CF7D66" w:rsidP="00CF7D66">
      <w:pPr>
        <w:autoSpaceDE w:val="0"/>
        <w:autoSpaceDN w:val="0"/>
        <w:adjustRightInd w:val="0"/>
        <w:spacing w:line="360" w:lineRule="auto"/>
        <w:ind w:firstLineChars="200" w:firstLine="480"/>
        <w:jc w:val="left"/>
        <w:rPr>
          <w:rFonts w:ascii="宋体" w:cs="Times New Roman"/>
          <w:kern w:val="0"/>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480"/>
        <w:jc w:val="center"/>
        <w:rPr>
          <w:rFonts w:ascii="宋体" w:cs="Times New Roman"/>
          <w:sz w:val="24"/>
          <w:szCs w:val="24"/>
        </w:rPr>
      </w:pPr>
    </w:p>
    <w:p w:rsidR="00CF7D66" w:rsidRDefault="00CF7D66" w:rsidP="00CF7D66">
      <w:pPr>
        <w:ind w:firstLineChars="200" w:firstLine="643"/>
        <w:jc w:val="center"/>
        <w:rPr>
          <w:rFonts w:ascii="宋体" w:cs="Times New Roman"/>
          <w:b/>
          <w:bCs/>
          <w:kern w:val="0"/>
          <w:sz w:val="32"/>
          <w:szCs w:val="32"/>
        </w:rPr>
      </w:pPr>
    </w:p>
    <w:p w:rsidR="00CF7D66" w:rsidRDefault="00CF7D66" w:rsidP="00CF7D66">
      <w:pPr>
        <w:ind w:firstLineChars="200" w:firstLine="643"/>
        <w:jc w:val="center"/>
        <w:rPr>
          <w:rFonts w:ascii="宋体" w:cs="Times New Roman"/>
          <w:b/>
          <w:bCs/>
          <w:kern w:val="0"/>
          <w:sz w:val="32"/>
          <w:szCs w:val="32"/>
        </w:rPr>
      </w:pPr>
    </w:p>
    <w:p w:rsidR="00CF7D66" w:rsidRDefault="00CF7D66" w:rsidP="00CF7D66">
      <w:pPr>
        <w:ind w:firstLineChars="200" w:firstLine="643"/>
        <w:jc w:val="center"/>
        <w:rPr>
          <w:rFonts w:ascii="宋体" w:cs="Times New Roman"/>
          <w:b/>
          <w:bCs/>
          <w:kern w:val="0"/>
          <w:sz w:val="32"/>
          <w:szCs w:val="32"/>
        </w:rPr>
      </w:pPr>
    </w:p>
    <w:p w:rsidR="00CF7D66" w:rsidRDefault="00CF7D66" w:rsidP="00CF7D66">
      <w:pPr>
        <w:rPr>
          <w:rFonts w:ascii="宋体" w:cs="Times New Roman"/>
          <w:b/>
          <w:bCs/>
          <w:kern w:val="0"/>
          <w:sz w:val="32"/>
          <w:szCs w:val="32"/>
        </w:rPr>
      </w:pPr>
    </w:p>
    <w:p w:rsidR="00CF7D66" w:rsidRPr="00B30B87" w:rsidRDefault="00CF7D66" w:rsidP="00CF7D66">
      <w:pPr>
        <w:pStyle w:val="2"/>
        <w:numPr>
          <w:ilvl w:val="0"/>
          <w:numId w:val="1"/>
        </w:numPr>
        <w:tabs>
          <w:tab w:val="left" w:pos="525"/>
        </w:tabs>
        <w:rPr>
          <w:rFonts w:cs="Times New Roman"/>
        </w:rPr>
      </w:pPr>
      <w:bookmarkStart w:id="6" w:name="_Toc384739336"/>
      <w:r w:rsidRPr="00813D4C">
        <w:rPr>
          <w:rFonts w:cs="宋体" w:hint="eastAsia"/>
        </w:rPr>
        <w:lastRenderedPageBreak/>
        <w:t>高效、宽光谱染料敏化太阳电池</w:t>
      </w:r>
      <w:bookmarkEnd w:id="6"/>
    </w:p>
    <w:p w:rsidR="00CF7D66" w:rsidRDefault="00CF7D66" w:rsidP="00CF7D66">
      <w:pPr>
        <w:spacing w:line="360" w:lineRule="auto"/>
        <w:ind w:firstLineChars="200" w:firstLine="480"/>
        <w:rPr>
          <w:rFonts w:ascii="宋体" w:cs="Times New Roman"/>
          <w:sz w:val="24"/>
          <w:szCs w:val="24"/>
        </w:rPr>
      </w:pPr>
      <w:r w:rsidRPr="00813D4C">
        <w:rPr>
          <w:rFonts w:ascii="宋体" w:hAnsi="宋体" w:cs="宋体" w:hint="eastAsia"/>
          <w:sz w:val="24"/>
          <w:szCs w:val="24"/>
        </w:rPr>
        <w:t>染料敏化太阳电池作为一种新型的太阳电池已成为光伏领域研究的热点之一。其最大光电转换率达到了</w:t>
      </w:r>
      <w:r w:rsidRPr="00813D4C">
        <w:rPr>
          <w:rFonts w:ascii="宋体" w:hAnsi="宋体" w:cs="宋体"/>
          <w:sz w:val="24"/>
          <w:szCs w:val="24"/>
        </w:rPr>
        <w:t>15%</w:t>
      </w:r>
      <w:r w:rsidRPr="00813D4C">
        <w:rPr>
          <w:rFonts w:ascii="宋体" w:hAnsi="宋体" w:cs="宋体" w:hint="eastAsia"/>
          <w:sz w:val="24"/>
          <w:szCs w:val="24"/>
        </w:rPr>
        <w:t>，制作成本仅为硅太阳电池的</w:t>
      </w:r>
      <w:r w:rsidRPr="00813D4C">
        <w:rPr>
          <w:rFonts w:ascii="宋体" w:hAnsi="宋体" w:cs="宋体"/>
          <w:sz w:val="24"/>
          <w:szCs w:val="24"/>
        </w:rPr>
        <w:t>1/5</w:t>
      </w:r>
      <w:r w:rsidRPr="00813D4C">
        <w:rPr>
          <w:rFonts w:ascii="宋体" w:hAnsi="宋体" w:cs="宋体" w:hint="eastAsia"/>
          <w:sz w:val="24"/>
          <w:szCs w:val="24"/>
        </w:rPr>
        <w:t>～</w:t>
      </w:r>
      <w:r w:rsidRPr="00813D4C">
        <w:rPr>
          <w:rFonts w:ascii="宋体" w:hAnsi="宋体" w:cs="宋体"/>
          <w:sz w:val="24"/>
          <w:szCs w:val="24"/>
        </w:rPr>
        <w:t>1/10</w:t>
      </w:r>
      <w:r w:rsidRPr="00813D4C">
        <w:rPr>
          <w:rFonts w:ascii="宋体" w:hAnsi="宋体" w:cs="宋体" w:hint="eastAsia"/>
          <w:sz w:val="24"/>
          <w:szCs w:val="24"/>
        </w:rPr>
        <w:t>，寿命却能达到</w:t>
      </w:r>
      <w:r w:rsidRPr="00813D4C">
        <w:rPr>
          <w:rFonts w:ascii="宋体" w:hAnsi="宋体" w:cs="宋体"/>
          <w:sz w:val="24"/>
          <w:szCs w:val="24"/>
        </w:rPr>
        <w:t xml:space="preserve">20 </w:t>
      </w:r>
      <w:r w:rsidRPr="00813D4C">
        <w:rPr>
          <w:rFonts w:ascii="宋体" w:hAnsi="宋体" w:cs="宋体" w:hint="eastAsia"/>
          <w:sz w:val="24"/>
          <w:szCs w:val="24"/>
        </w:rPr>
        <w:t>年以上。本课题组在国家自然科学基金、教育部新世纪优秀人才、南方电网重点项目等课题的支持下面向染料敏化太阳电池的发展的关键问题，分别从阳极薄膜结构、电池光吸收技术、电池封装技术等方面出发，研发出了具有高光电转换效率和广谱吸收系性能的染料敏化太阳电池。获得了具有三维连续网络、旋节分相、一维纳米等纳微结构的阳极薄膜，有效地提高了光生电子的传导、电解质的渗透和光散射；开发了基于全光谱吸收的上转换、双金属耦合等离激元技术实现了太阳电池从可见光－近红外的宽光谱吸收，电池最大光电转换效率超过</w:t>
      </w:r>
      <w:r w:rsidRPr="00813D4C">
        <w:rPr>
          <w:rFonts w:ascii="宋体" w:hAnsi="宋体" w:cs="宋体"/>
          <w:sz w:val="24"/>
          <w:szCs w:val="24"/>
        </w:rPr>
        <w:t>7</w:t>
      </w:r>
      <w:r w:rsidRPr="00813D4C">
        <w:rPr>
          <w:rFonts w:ascii="宋体" w:hAnsi="宋体" w:cs="宋体" w:hint="eastAsia"/>
          <w:sz w:val="24"/>
          <w:szCs w:val="24"/>
        </w:rPr>
        <w:t>％；开发出可多次填充电解液的可充式太阳电池封装技术提高了大面积太阳电池的长期稳定性。</w:t>
      </w:r>
    </w:p>
    <w:p w:rsidR="00CF7D66" w:rsidRDefault="00CF7D66" w:rsidP="00CF7D66">
      <w:pPr>
        <w:spacing w:line="360" w:lineRule="auto"/>
        <w:ind w:firstLineChars="200" w:firstLine="480"/>
        <w:rPr>
          <w:rFonts w:ascii="宋体" w:cs="Times New Roman"/>
          <w:sz w:val="24"/>
          <w:szCs w:val="24"/>
        </w:rPr>
      </w:pPr>
    </w:p>
    <w:tbl>
      <w:tblPr>
        <w:tblW w:w="0" w:type="auto"/>
        <w:tblInd w:w="2" w:type="dxa"/>
        <w:tblLook w:val="01E0" w:firstRow="1" w:lastRow="1" w:firstColumn="1" w:lastColumn="1" w:noHBand="0" w:noVBand="0"/>
      </w:tblPr>
      <w:tblGrid>
        <w:gridCol w:w="7476"/>
      </w:tblGrid>
      <w:tr w:rsidR="00CF7D66" w:rsidTr="001519AE">
        <w:tc>
          <w:tcPr>
            <w:tcW w:w="6981" w:type="dxa"/>
          </w:tcPr>
          <w:p w:rsidR="00CF7D66" w:rsidRPr="001117E0" w:rsidRDefault="00CF7D66" w:rsidP="001519AE">
            <w:pPr>
              <w:spacing w:line="360" w:lineRule="auto"/>
              <w:rPr>
                <w:rFonts w:ascii="宋体" w:cs="Times New Roman"/>
                <w:sz w:val="24"/>
                <w:szCs w:val="24"/>
              </w:rPr>
            </w:pPr>
            <w:r>
              <w:rPr>
                <w:rFonts w:ascii="宋体" w:cs="Times New Roman"/>
                <w:b/>
                <w:bCs/>
                <w:noProof/>
                <w:sz w:val="32"/>
                <w:szCs w:val="32"/>
              </w:rPr>
              <w:drawing>
                <wp:inline distT="0" distB="0" distL="0" distR="0">
                  <wp:extent cx="4600575" cy="11620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1162050"/>
                          </a:xfrm>
                          <a:prstGeom prst="rect">
                            <a:avLst/>
                          </a:prstGeom>
                          <a:noFill/>
                          <a:ln>
                            <a:noFill/>
                          </a:ln>
                        </pic:spPr>
                      </pic:pic>
                    </a:graphicData>
                  </a:graphic>
                </wp:inline>
              </w:drawing>
            </w:r>
          </w:p>
        </w:tc>
      </w:tr>
      <w:tr w:rsidR="00CF7D66" w:rsidTr="001519AE">
        <w:tc>
          <w:tcPr>
            <w:tcW w:w="6981" w:type="dxa"/>
          </w:tcPr>
          <w:p w:rsidR="00CF7D66" w:rsidRPr="001117E0" w:rsidRDefault="00CF7D66" w:rsidP="001519AE">
            <w:pPr>
              <w:spacing w:line="360" w:lineRule="auto"/>
              <w:rPr>
                <w:rFonts w:ascii="宋体" w:cs="Times New Roman"/>
                <w:sz w:val="24"/>
                <w:szCs w:val="24"/>
              </w:rPr>
            </w:pPr>
            <w:r>
              <w:rPr>
                <w:rFonts w:ascii="宋体" w:cs="Times New Roman"/>
                <w:b/>
                <w:bCs/>
                <w:noProof/>
                <w:sz w:val="32"/>
                <w:szCs w:val="32"/>
              </w:rPr>
              <w:drawing>
                <wp:inline distT="0" distB="0" distL="0" distR="0">
                  <wp:extent cx="4286250" cy="16668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1666875"/>
                          </a:xfrm>
                          <a:prstGeom prst="rect">
                            <a:avLst/>
                          </a:prstGeom>
                          <a:noFill/>
                          <a:ln>
                            <a:noFill/>
                          </a:ln>
                        </pic:spPr>
                      </pic:pic>
                    </a:graphicData>
                  </a:graphic>
                </wp:inline>
              </w:drawing>
            </w:r>
          </w:p>
        </w:tc>
      </w:tr>
    </w:tbl>
    <w:p w:rsidR="00CF7D66" w:rsidRDefault="00CF7D66" w:rsidP="00CF7D66">
      <w:pPr>
        <w:spacing w:line="360" w:lineRule="auto"/>
        <w:ind w:firstLineChars="200" w:firstLine="480"/>
        <w:rPr>
          <w:rFonts w:ascii="宋体" w:cs="Times New Roman"/>
          <w:sz w:val="24"/>
          <w:szCs w:val="24"/>
        </w:rPr>
      </w:pPr>
    </w:p>
    <w:p w:rsidR="00CF7D66" w:rsidRDefault="00CF7D66" w:rsidP="00CF7D66">
      <w:pPr>
        <w:spacing w:line="360" w:lineRule="auto"/>
        <w:ind w:firstLineChars="250" w:firstLine="803"/>
        <w:rPr>
          <w:rFonts w:ascii="宋体" w:hAnsi="宋体" w:cs="宋体"/>
          <w:b/>
          <w:bCs/>
          <w:sz w:val="32"/>
          <w:szCs w:val="32"/>
        </w:rPr>
      </w:pPr>
      <w:r>
        <w:rPr>
          <w:rFonts w:ascii="宋体" w:hAnsi="宋体" w:cs="宋体"/>
          <w:b/>
          <w:bCs/>
          <w:sz w:val="32"/>
          <w:szCs w:val="32"/>
        </w:rPr>
        <w:t xml:space="preserve">  </w:t>
      </w:r>
    </w:p>
    <w:p w:rsidR="00CF7D66" w:rsidRDefault="00CF7D66" w:rsidP="00CF7D66">
      <w:pPr>
        <w:spacing w:line="360" w:lineRule="auto"/>
        <w:ind w:firstLineChars="250" w:firstLine="803"/>
        <w:rPr>
          <w:rFonts w:ascii="宋体" w:hAnsi="宋体" w:cs="宋体"/>
          <w:b/>
          <w:bCs/>
          <w:sz w:val="32"/>
          <w:szCs w:val="32"/>
        </w:rPr>
      </w:pPr>
      <w:r>
        <w:rPr>
          <w:rFonts w:ascii="宋体" w:hAnsi="宋体" w:cs="宋体"/>
          <w:b/>
          <w:bCs/>
          <w:sz w:val="32"/>
          <w:szCs w:val="32"/>
        </w:rPr>
        <w:t xml:space="preserve"> </w:t>
      </w:r>
    </w:p>
    <w:p w:rsidR="00CF7D66" w:rsidRDefault="00CF7D66" w:rsidP="00CF7D66">
      <w:pPr>
        <w:spacing w:line="360" w:lineRule="auto"/>
        <w:ind w:firstLineChars="250" w:firstLine="803"/>
        <w:rPr>
          <w:rFonts w:ascii="宋体" w:hAnsi="宋体" w:cs="宋体"/>
          <w:b/>
          <w:bCs/>
          <w:sz w:val="32"/>
          <w:szCs w:val="32"/>
        </w:rPr>
      </w:pPr>
    </w:p>
    <w:p w:rsidR="00CF7D66" w:rsidRPr="00B30B87" w:rsidRDefault="00CF7D66" w:rsidP="00CF7D66">
      <w:pPr>
        <w:pStyle w:val="2"/>
        <w:numPr>
          <w:ilvl w:val="0"/>
          <w:numId w:val="1"/>
        </w:numPr>
        <w:tabs>
          <w:tab w:val="left" w:pos="735"/>
        </w:tabs>
        <w:rPr>
          <w:rFonts w:cs="Times New Roman"/>
        </w:rPr>
      </w:pPr>
      <w:bookmarkStart w:id="7" w:name="_Toc384739337"/>
      <w:r w:rsidRPr="0041659F">
        <w:rPr>
          <w:rFonts w:cs="宋体" w:hint="eastAsia"/>
        </w:rPr>
        <w:lastRenderedPageBreak/>
        <w:t>高效聚合物太阳电池材料与器件的研究</w:t>
      </w:r>
      <w:bookmarkEnd w:id="7"/>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41659F">
        <w:rPr>
          <w:rFonts w:ascii="宋体" w:hAnsi="宋体" w:cs="宋体" w:hint="eastAsia"/>
          <w:kern w:val="0"/>
          <w:sz w:val="24"/>
          <w:szCs w:val="24"/>
        </w:rPr>
        <w:t>聚合物太阳电池具有成本低、重量轻、可采用溶液加工技术大面积柔性制备等突出优点而备受关注。另外有机材料种类繁多、可设计性强，有希望通过材料的设计和器件结构的优化来提高太阳电池的性能。一旦在能量转化效率和稳定性方面取得进一步突破</w:t>
      </w:r>
      <w:r w:rsidRPr="0041659F">
        <w:rPr>
          <w:rFonts w:ascii="宋体" w:cs="宋体"/>
          <w:kern w:val="0"/>
          <w:sz w:val="24"/>
          <w:szCs w:val="24"/>
        </w:rPr>
        <w:t>,</w:t>
      </w:r>
      <w:r w:rsidRPr="0041659F">
        <w:rPr>
          <w:rFonts w:ascii="宋体" w:hAnsi="宋体" w:cs="宋体" w:hint="eastAsia"/>
          <w:kern w:val="0"/>
          <w:sz w:val="24"/>
          <w:szCs w:val="24"/>
        </w:rPr>
        <w:t>将极大地改变目前的能源结构</w:t>
      </w:r>
      <w:r w:rsidRPr="0041659F">
        <w:rPr>
          <w:rFonts w:ascii="宋体" w:cs="宋体"/>
          <w:kern w:val="0"/>
          <w:sz w:val="24"/>
          <w:szCs w:val="24"/>
        </w:rPr>
        <w:t>,</w:t>
      </w:r>
      <w:r w:rsidRPr="0041659F">
        <w:rPr>
          <w:rFonts w:ascii="宋体" w:hAnsi="宋体" w:cs="宋体" w:hint="eastAsia"/>
          <w:kern w:val="0"/>
          <w:sz w:val="24"/>
          <w:szCs w:val="24"/>
        </w:rPr>
        <w:t>引发一场新的能源革命</w:t>
      </w:r>
      <w:r w:rsidRPr="0041659F">
        <w:rPr>
          <w:rFonts w:ascii="宋体" w:cs="宋体"/>
          <w:kern w:val="0"/>
          <w:sz w:val="24"/>
          <w:szCs w:val="24"/>
        </w:rPr>
        <w:t>,</w:t>
      </w:r>
      <w:r w:rsidRPr="0041659F">
        <w:rPr>
          <w:rFonts w:ascii="宋体" w:hAnsi="宋体" w:cs="宋体" w:hint="eastAsia"/>
          <w:kern w:val="0"/>
          <w:sz w:val="24"/>
          <w:szCs w:val="24"/>
        </w:rPr>
        <w:t>其市场前景将十分巨大。</w:t>
      </w:r>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r w:rsidRPr="0041659F">
        <w:rPr>
          <w:rFonts w:ascii="宋体" w:hAnsi="宋体" w:cs="宋体" w:hint="eastAsia"/>
          <w:kern w:val="0"/>
          <w:sz w:val="24"/>
          <w:szCs w:val="24"/>
        </w:rPr>
        <w:t>目前聚合物太阳能电池中最成功的器件结构是如图</w:t>
      </w:r>
      <w:r w:rsidRPr="0041659F">
        <w:rPr>
          <w:rFonts w:ascii="宋体" w:hAnsi="宋体" w:cs="宋体"/>
          <w:kern w:val="0"/>
          <w:sz w:val="24"/>
          <w:szCs w:val="24"/>
        </w:rPr>
        <w:t xml:space="preserve">1 </w:t>
      </w:r>
      <w:r w:rsidRPr="0041659F">
        <w:rPr>
          <w:rFonts w:ascii="宋体" w:hAnsi="宋体" w:cs="宋体" w:hint="eastAsia"/>
          <w:kern w:val="0"/>
          <w:sz w:val="24"/>
          <w:szCs w:val="24"/>
        </w:rPr>
        <w:t>所示的本体异质结结构。它由共轭聚合物电子给体和</w:t>
      </w:r>
      <w:r w:rsidRPr="0041659F">
        <w:rPr>
          <w:rFonts w:ascii="宋体" w:hAnsi="宋体" w:cs="宋体"/>
          <w:kern w:val="0"/>
          <w:sz w:val="24"/>
          <w:szCs w:val="24"/>
        </w:rPr>
        <w:t>PCBM</w:t>
      </w:r>
      <w:r w:rsidRPr="0041659F">
        <w:rPr>
          <w:rFonts w:ascii="宋体" w:hAnsi="宋体" w:cs="宋体" w:hint="eastAsia"/>
          <w:kern w:val="0"/>
          <w:sz w:val="24"/>
          <w:szCs w:val="24"/>
        </w:rPr>
        <w:t>（</w:t>
      </w:r>
      <w:r w:rsidRPr="0041659F">
        <w:rPr>
          <w:rFonts w:ascii="宋体" w:hAnsi="宋体" w:cs="宋体"/>
          <w:kern w:val="0"/>
          <w:sz w:val="24"/>
          <w:szCs w:val="24"/>
        </w:rPr>
        <w:t xml:space="preserve">C60 </w:t>
      </w:r>
      <w:r w:rsidRPr="0041659F">
        <w:rPr>
          <w:rFonts w:ascii="宋体" w:hAnsi="宋体" w:cs="宋体" w:hint="eastAsia"/>
          <w:kern w:val="0"/>
          <w:sz w:val="24"/>
          <w:szCs w:val="24"/>
        </w:rPr>
        <w:t>的可溶性衍生物）电子受体的共混膜（光电活性层）夹在高功涵透明阳极（</w:t>
      </w:r>
      <w:r w:rsidRPr="0041659F">
        <w:rPr>
          <w:rFonts w:ascii="宋体" w:hAnsi="宋体" w:cs="宋体"/>
          <w:kern w:val="0"/>
          <w:sz w:val="24"/>
          <w:szCs w:val="24"/>
        </w:rPr>
        <w:t>ITO</w:t>
      </w:r>
      <w:r w:rsidRPr="0041659F">
        <w:rPr>
          <w:rFonts w:ascii="宋体" w:hAnsi="宋体" w:cs="宋体" w:hint="eastAsia"/>
          <w:kern w:val="0"/>
          <w:sz w:val="24"/>
          <w:szCs w:val="24"/>
        </w:rPr>
        <w:t>）和低功涵阴极（</w:t>
      </w:r>
      <w:r w:rsidRPr="0041659F">
        <w:rPr>
          <w:rFonts w:ascii="宋体" w:hAnsi="宋体" w:cs="宋体"/>
          <w:kern w:val="0"/>
          <w:sz w:val="24"/>
          <w:szCs w:val="24"/>
        </w:rPr>
        <w:t>Ca</w:t>
      </w:r>
      <w:r w:rsidRPr="0041659F">
        <w:rPr>
          <w:rFonts w:ascii="宋体" w:hAnsi="宋体" w:cs="宋体" w:hint="eastAsia"/>
          <w:kern w:val="0"/>
          <w:sz w:val="24"/>
          <w:szCs w:val="24"/>
        </w:rPr>
        <w:t>、</w:t>
      </w:r>
      <w:r w:rsidRPr="0041659F">
        <w:rPr>
          <w:rFonts w:ascii="宋体" w:hAnsi="宋体" w:cs="宋体"/>
          <w:kern w:val="0"/>
          <w:sz w:val="24"/>
          <w:szCs w:val="24"/>
        </w:rPr>
        <w:t>Mg</w:t>
      </w:r>
      <w:r w:rsidRPr="0041659F">
        <w:rPr>
          <w:rFonts w:ascii="宋体" w:hAnsi="宋体" w:cs="宋体" w:hint="eastAsia"/>
          <w:kern w:val="0"/>
          <w:sz w:val="24"/>
          <w:szCs w:val="24"/>
        </w:rPr>
        <w:t>、</w:t>
      </w:r>
      <w:r w:rsidRPr="0041659F">
        <w:rPr>
          <w:rFonts w:ascii="宋体" w:hAnsi="宋体" w:cs="宋体"/>
          <w:kern w:val="0"/>
          <w:sz w:val="24"/>
          <w:szCs w:val="24"/>
        </w:rPr>
        <w:t xml:space="preserve">Al </w:t>
      </w:r>
      <w:r w:rsidRPr="0041659F">
        <w:rPr>
          <w:rFonts w:ascii="宋体" w:hAnsi="宋体" w:cs="宋体" w:hint="eastAsia"/>
          <w:kern w:val="0"/>
          <w:sz w:val="24"/>
          <w:szCs w:val="24"/>
        </w:rPr>
        <w:t>等）之间所组成。近年来，我们在共轭聚合物给体材料、富勒烯衍生物受体材料和太阳电池电极界面材料方面开展了大量的研究工作并取得了一系列有意义的研究结果，发表</w:t>
      </w:r>
      <w:r w:rsidRPr="0041659F">
        <w:rPr>
          <w:rFonts w:ascii="宋体" w:hAnsi="宋体" w:cs="宋体"/>
          <w:kern w:val="0"/>
          <w:sz w:val="24"/>
          <w:szCs w:val="24"/>
        </w:rPr>
        <w:t xml:space="preserve">SCI </w:t>
      </w:r>
      <w:r w:rsidRPr="0041659F">
        <w:rPr>
          <w:rFonts w:ascii="宋体" w:hAnsi="宋体" w:cs="宋体" w:hint="eastAsia"/>
          <w:kern w:val="0"/>
          <w:sz w:val="24"/>
          <w:szCs w:val="24"/>
        </w:rPr>
        <w:t>论文</w:t>
      </w:r>
      <w:r w:rsidRPr="0041659F">
        <w:rPr>
          <w:rFonts w:ascii="宋体" w:hAnsi="宋体" w:cs="宋体"/>
          <w:kern w:val="0"/>
          <w:sz w:val="24"/>
          <w:szCs w:val="24"/>
        </w:rPr>
        <w:t xml:space="preserve">60 </w:t>
      </w:r>
      <w:r w:rsidRPr="0041659F">
        <w:rPr>
          <w:rFonts w:ascii="宋体" w:hAnsi="宋体" w:cs="宋体" w:hint="eastAsia"/>
          <w:kern w:val="0"/>
          <w:sz w:val="24"/>
          <w:szCs w:val="24"/>
        </w:rPr>
        <w:t>余篇，被引用</w:t>
      </w:r>
      <w:r w:rsidRPr="0041659F">
        <w:rPr>
          <w:rFonts w:ascii="宋体" w:hAnsi="宋体" w:cs="宋体"/>
          <w:kern w:val="0"/>
          <w:sz w:val="24"/>
          <w:szCs w:val="24"/>
        </w:rPr>
        <w:t xml:space="preserve">2000 </w:t>
      </w:r>
      <w:r w:rsidRPr="0041659F">
        <w:rPr>
          <w:rFonts w:ascii="宋体" w:hAnsi="宋体" w:cs="宋体" w:hint="eastAsia"/>
          <w:kern w:val="0"/>
          <w:sz w:val="24"/>
          <w:szCs w:val="24"/>
        </w:rPr>
        <w:t>余次。</w:t>
      </w:r>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p>
    <w:p w:rsidR="00CF7D66" w:rsidRDefault="00CF7D66" w:rsidP="00CF7D66">
      <w:pPr>
        <w:autoSpaceDE w:val="0"/>
        <w:autoSpaceDN w:val="0"/>
        <w:adjustRightInd w:val="0"/>
        <w:spacing w:line="360" w:lineRule="auto"/>
        <w:ind w:firstLineChars="200" w:firstLine="480"/>
        <w:jc w:val="left"/>
        <w:rPr>
          <w:rFonts w:ascii="宋体" w:cs="Times New Roman"/>
          <w:kern w:val="0"/>
          <w:sz w:val="24"/>
          <w:szCs w:val="24"/>
        </w:rPr>
      </w:pPr>
    </w:p>
    <w:p w:rsidR="00CF7D66" w:rsidRDefault="00CF7D66" w:rsidP="00CF7D66">
      <w:pPr>
        <w:autoSpaceDE w:val="0"/>
        <w:autoSpaceDN w:val="0"/>
        <w:adjustRightInd w:val="0"/>
        <w:spacing w:line="360" w:lineRule="auto"/>
        <w:ind w:firstLineChars="200" w:firstLine="482"/>
        <w:jc w:val="center"/>
        <w:rPr>
          <w:rFonts w:ascii="宋体" w:cs="Times New Roman"/>
          <w:b/>
          <w:bCs/>
          <w:sz w:val="24"/>
          <w:szCs w:val="24"/>
        </w:rPr>
      </w:pPr>
    </w:p>
    <w:p w:rsidR="00CF7D66" w:rsidRDefault="00CF7D66" w:rsidP="00CF7D66">
      <w:pPr>
        <w:autoSpaceDE w:val="0"/>
        <w:autoSpaceDN w:val="0"/>
        <w:adjustRightInd w:val="0"/>
        <w:spacing w:line="360" w:lineRule="auto"/>
        <w:ind w:firstLineChars="200" w:firstLine="482"/>
        <w:jc w:val="left"/>
        <w:rPr>
          <w:rFonts w:ascii="宋体" w:cs="Times New Roman"/>
          <w:b/>
          <w:bCs/>
          <w:sz w:val="24"/>
          <w:szCs w:val="24"/>
        </w:rPr>
      </w:pPr>
      <w:r>
        <w:rPr>
          <w:rFonts w:ascii="宋体" w:cs="Times New Roman"/>
          <w:b/>
          <w:bCs/>
          <w:noProof/>
          <w:sz w:val="24"/>
          <w:szCs w:val="24"/>
        </w:rPr>
        <w:drawing>
          <wp:inline distT="0" distB="0" distL="0" distR="0">
            <wp:extent cx="5095875" cy="13144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5875" cy="1314450"/>
                    </a:xfrm>
                    <a:prstGeom prst="rect">
                      <a:avLst/>
                    </a:prstGeom>
                    <a:noFill/>
                    <a:ln>
                      <a:noFill/>
                    </a:ln>
                  </pic:spPr>
                </pic:pic>
              </a:graphicData>
            </a:graphic>
          </wp:inline>
        </w:drawing>
      </w:r>
    </w:p>
    <w:p w:rsidR="00CF7D66" w:rsidRDefault="00CF7D66" w:rsidP="00CF7D66">
      <w:pPr>
        <w:autoSpaceDE w:val="0"/>
        <w:autoSpaceDN w:val="0"/>
        <w:adjustRightInd w:val="0"/>
        <w:spacing w:line="360" w:lineRule="auto"/>
        <w:ind w:firstLineChars="200" w:firstLine="482"/>
        <w:jc w:val="left"/>
        <w:rPr>
          <w:rFonts w:ascii="宋体" w:cs="Times New Roman"/>
          <w:b/>
          <w:bCs/>
          <w:sz w:val="24"/>
          <w:szCs w:val="24"/>
        </w:rPr>
      </w:pPr>
    </w:p>
    <w:p w:rsidR="00CF7D66" w:rsidRDefault="00CF7D66" w:rsidP="00CF7D66">
      <w:pPr>
        <w:autoSpaceDE w:val="0"/>
        <w:autoSpaceDN w:val="0"/>
        <w:adjustRightInd w:val="0"/>
        <w:spacing w:line="360" w:lineRule="auto"/>
        <w:ind w:firstLineChars="200" w:firstLine="482"/>
        <w:jc w:val="left"/>
        <w:rPr>
          <w:rFonts w:ascii="宋体" w:cs="Times New Roman"/>
          <w:b/>
          <w:bCs/>
          <w:sz w:val="24"/>
          <w:szCs w:val="24"/>
        </w:rPr>
      </w:pPr>
    </w:p>
    <w:p w:rsidR="00CF7D66" w:rsidRDefault="00CF7D66" w:rsidP="00CF7D66">
      <w:pPr>
        <w:autoSpaceDE w:val="0"/>
        <w:autoSpaceDN w:val="0"/>
        <w:adjustRightInd w:val="0"/>
        <w:spacing w:line="360" w:lineRule="auto"/>
        <w:ind w:firstLineChars="200" w:firstLine="482"/>
        <w:jc w:val="left"/>
        <w:rPr>
          <w:rFonts w:ascii="宋体" w:cs="Times New Roman"/>
          <w:b/>
          <w:bCs/>
          <w:sz w:val="24"/>
          <w:szCs w:val="24"/>
        </w:rPr>
      </w:pPr>
    </w:p>
    <w:p w:rsidR="00CF7D66" w:rsidRDefault="00CF7D66" w:rsidP="00CF7D66">
      <w:pPr>
        <w:spacing w:line="360" w:lineRule="auto"/>
        <w:ind w:firstLineChars="250" w:firstLine="803"/>
        <w:rPr>
          <w:rFonts w:ascii="宋体" w:cs="Times New Roman"/>
          <w:b/>
          <w:bCs/>
          <w:sz w:val="32"/>
          <w:szCs w:val="32"/>
        </w:rPr>
      </w:pPr>
    </w:p>
    <w:p w:rsidR="00CF7D66" w:rsidRDefault="00CF7D66" w:rsidP="00CF7D66">
      <w:pPr>
        <w:spacing w:line="360" w:lineRule="auto"/>
        <w:ind w:firstLineChars="250" w:firstLine="803"/>
        <w:rPr>
          <w:rFonts w:ascii="宋体" w:cs="Times New Roman"/>
          <w:b/>
          <w:bCs/>
          <w:sz w:val="32"/>
          <w:szCs w:val="32"/>
        </w:rPr>
      </w:pPr>
    </w:p>
    <w:p w:rsidR="00CF7D66" w:rsidRDefault="00CF7D66" w:rsidP="00CF7D66">
      <w:pPr>
        <w:spacing w:line="360" w:lineRule="auto"/>
        <w:ind w:firstLineChars="250" w:firstLine="803"/>
        <w:rPr>
          <w:rFonts w:ascii="宋体" w:cs="Times New Roman"/>
          <w:b/>
          <w:bCs/>
          <w:sz w:val="32"/>
          <w:szCs w:val="32"/>
        </w:rPr>
      </w:pPr>
    </w:p>
    <w:p w:rsidR="00CF7D66" w:rsidRDefault="00CF7D66" w:rsidP="00CF7D66">
      <w:pPr>
        <w:spacing w:line="360" w:lineRule="auto"/>
        <w:ind w:firstLineChars="250" w:firstLine="803"/>
        <w:rPr>
          <w:rFonts w:ascii="宋体" w:cs="Times New Roman"/>
          <w:b/>
          <w:bCs/>
          <w:sz w:val="32"/>
          <w:szCs w:val="32"/>
        </w:rPr>
      </w:pPr>
    </w:p>
    <w:p w:rsidR="00CF7D66" w:rsidRDefault="00CF7D66" w:rsidP="00CF7D66">
      <w:pPr>
        <w:pStyle w:val="2"/>
        <w:numPr>
          <w:ilvl w:val="0"/>
          <w:numId w:val="1"/>
        </w:numPr>
        <w:tabs>
          <w:tab w:val="left" w:pos="735"/>
        </w:tabs>
        <w:rPr>
          <w:rFonts w:cs="Times New Roman"/>
        </w:rPr>
      </w:pPr>
      <w:bookmarkStart w:id="8" w:name="_Toc384739338"/>
      <w:r w:rsidRPr="00600B87">
        <w:rPr>
          <w:rFonts w:cs="宋体" w:hint="eastAsia"/>
        </w:rPr>
        <w:lastRenderedPageBreak/>
        <w:t>风电机组能量转换机理与发电过程特性研究</w:t>
      </w:r>
      <w:bookmarkEnd w:id="8"/>
    </w:p>
    <w:p w:rsidR="00CF7D66" w:rsidRDefault="00CF7D66" w:rsidP="00CF7D66">
      <w:pPr>
        <w:spacing w:line="360" w:lineRule="auto"/>
        <w:ind w:firstLineChars="250" w:firstLine="600"/>
        <w:rPr>
          <w:rFonts w:ascii="宋体" w:cs="Times New Roman"/>
          <w:sz w:val="24"/>
          <w:szCs w:val="24"/>
        </w:rPr>
      </w:pPr>
      <w:r w:rsidRPr="00600B87">
        <w:rPr>
          <w:rFonts w:ascii="宋体" w:hAnsi="宋体" w:cs="宋体" w:hint="eastAsia"/>
          <w:sz w:val="24"/>
          <w:szCs w:val="24"/>
        </w:rPr>
        <w:t>本课题得到国家“</w:t>
      </w:r>
      <w:r w:rsidRPr="00600B87">
        <w:rPr>
          <w:rFonts w:ascii="宋体" w:hAnsi="宋体" w:cs="宋体"/>
          <w:sz w:val="24"/>
          <w:szCs w:val="24"/>
        </w:rPr>
        <w:t>863</w:t>
      </w:r>
      <w:r w:rsidRPr="00600B87">
        <w:rPr>
          <w:rFonts w:ascii="宋体" w:hAnsi="宋体" w:cs="宋体" w:hint="eastAsia"/>
          <w:sz w:val="24"/>
          <w:szCs w:val="24"/>
        </w:rPr>
        <w:t>”计划项目、国家科技支撑计划项目资助。主要研究内容包括：风电机组多尺度建模、特性分析与系统优化，风电机组流固耦合机理与特性分析，风力发电过程运行优化及安全控制算法。主要创新点如下：</w:t>
      </w:r>
    </w:p>
    <w:p w:rsidR="00CF7D66" w:rsidRDefault="00CF7D66" w:rsidP="00CF7D66">
      <w:pPr>
        <w:spacing w:line="360" w:lineRule="auto"/>
        <w:ind w:firstLineChars="250" w:firstLine="600"/>
        <w:jc w:val="left"/>
        <w:rPr>
          <w:rFonts w:ascii="宋体" w:cs="Times New Roman"/>
          <w:sz w:val="24"/>
          <w:szCs w:val="24"/>
        </w:rPr>
      </w:pPr>
      <w:r w:rsidRPr="00600B87">
        <w:rPr>
          <w:rFonts w:ascii="宋体" w:hAnsi="宋体" w:cs="宋体" w:hint="eastAsia"/>
          <w:sz w:val="24"/>
          <w:szCs w:val="24"/>
        </w:rPr>
        <w:t>（</w:t>
      </w:r>
      <w:r w:rsidRPr="00600B87">
        <w:rPr>
          <w:rFonts w:ascii="宋体" w:hAnsi="宋体" w:cs="宋体"/>
          <w:sz w:val="24"/>
          <w:szCs w:val="24"/>
        </w:rPr>
        <w:t>1</w:t>
      </w:r>
      <w:r w:rsidRPr="00600B87">
        <w:rPr>
          <w:rFonts w:ascii="宋体" w:hAnsi="宋体" w:cs="宋体" w:hint="eastAsia"/>
          <w:sz w:val="24"/>
          <w:szCs w:val="24"/>
        </w:rPr>
        <w:t>）开展了风电机组风轮、传动系、塔架、发电机、变流器等部件和整机的多尺度建模研究，揭示了风电机组能量转换机理和特性。</w:t>
      </w:r>
    </w:p>
    <w:p w:rsidR="00CF7D66" w:rsidRDefault="00CF7D66" w:rsidP="00CF7D66">
      <w:pPr>
        <w:spacing w:line="360" w:lineRule="auto"/>
        <w:ind w:firstLineChars="250" w:firstLine="600"/>
        <w:jc w:val="left"/>
        <w:rPr>
          <w:rFonts w:ascii="宋体" w:cs="Times New Roman"/>
          <w:sz w:val="24"/>
          <w:szCs w:val="24"/>
        </w:rPr>
      </w:pPr>
      <w:r w:rsidRPr="00600B87">
        <w:rPr>
          <w:rFonts w:ascii="宋体" w:hAnsi="宋体" w:cs="宋体" w:hint="eastAsia"/>
          <w:sz w:val="24"/>
          <w:szCs w:val="24"/>
        </w:rPr>
        <w:t>（</w:t>
      </w:r>
      <w:r w:rsidRPr="00600B87">
        <w:rPr>
          <w:rFonts w:ascii="宋体" w:hAnsi="宋体" w:cs="宋体"/>
          <w:sz w:val="24"/>
          <w:szCs w:val="24"/>
        </w:rPr>
        <w:t>2</w:t>
      </w:r>
      <w:r w:rsidRPr="00600B87">
        <w:rPr>
          <w:rFonts w:ascii="宋体" w:hAnsi="宋体" w:cs="宋体" w:hint="eastAsia"/>
          <w:sz w:val="24"/>
          <w:szCs w:val="24"/>
        </w:rPr>
        <w:t>）针对风电机组非线性控制系统，提出了风电机组凸优化控制方法，实现了减缓风电机组波动性载荷和全局功率优化。</w:t>
      </w:r>
    </w:p>
    <w:p w:rsidR="00CF7D66" w:rsidRDefault="00CF7D66" w:rsidP="00CF7D66">
      <w:pPr>
        <w:spacing w:line="360" w:lineRule="auto"/>
        <w:ind w:firstLineChars="250" w:firstLine="600"/>
        <w:jc w:val="left"/>
        <w:rPr>
          <w:rFonts w:ascii="宋体" w:cs="Times New Roman"/>
          <w:sz w:val="24"/>
          <w:szCs w:val="24"/>
        </w:rPr>
      </w:pPr>
      <w:r w:rsidRPr="00600B87">
        <w:rPr>
          <w:rFonts w:ascii="宋体" w:hAnsi="宋体" w:cs="宋体" w:hint="eastAsia"/>
          <w:sz w:val="24"/>
          <w:szCs w:val="24"/>
        </w:rPr>
        <w:t>（</w:t>
      </w:r>
      <w:r w:rsidRPr="00600B87">
        <w:rPr>
          <w:rFonts w:ascii="宋体" w:hAnsi="宋体" w:cs="宋体"/>
          <w:sz w:val="24"/>
          <w:szCs w:val="24"/>
        </w:rPr>
        <w:t>3</w:t>
      </w:r>
      <w:r w:rsidRPr="00600B87">
        <w:rPr>
          <w:rFonts w:ascii="宋体" w:hAnsi="宋体" w:cs="宋体" w:hint="eastAsia"/>
          <w:sz w:val="24"/>
          <w:szCs w:val="24"/>
        </w:rPr>
        <w:t>）研究了风电机组叶片的流固耦合效应和风力发电过程的波动性特征，获取了柔性超长大阻尼叶片的功率输出特性。</w:t>
      </w:r>
    </w:p>
    <w:p w:rsidR="00CF7D66" w:rsidRDefault="00CF7D66" w:rsidP="00CF7D66">
      <w:pPr>
        <w:spacing w:line="360" w:lineRule="auto"/>
        <w:ind w:firstLineChars="250" w:firstLine="600"/>
        <w:jc w:val="left"/>
        <w:rPr>
          <w:rFonts w:ascii="宋体" w:cs="Times New Roman"/>
          <w:sz w:val="24"/>
          <w:szCs w:val="24"/>
        </w:rPr>
      </w:pPr>
    </w:p>
    <w:p w:rsidR="00CF7D66" w:rsidRDefault="00CF7D66" w:rsidP="00CF7D66">
      <w:pPr>
        <w:spacing w:line="360" w:lineRule="auto"/>
        <w:ind w:firstLineChars="250" w:firstLine="600"/>
        <w:jc w:val="left"/>
        <w:rPr>
          <w:rFonts w:ascii="宋体" w:cs="Times New Roman"/>
          <w:sz w:val="24"/>
          <w:szCs w:val="24"/>
        </w:rPr>
      </w:pPr>
    </w:p>
    <w:p w:rsidR="00CF7D66" w:rsidRDefault="00CF7D66" w:rsidP="00CF7D66">
      <w:pPr>
        <w:spacing w:line="360" w:lineRule="auto"/>
        <w:ind w:firstLineChars="250" w:firstLine="600"/>
        <w:jc w:val="center"/>
        <w:rPr>
          <w:rFonts w:ascii="宋体" w:cs="Times New Roman"/>
          <w:sz w:val="24"/>
          <w:szCs w:val="24"/>
        </w:rPr>
      </w:pPr>
      <w:r>
        <w:rPr>
          <w:rFonts w:ascii="宋体" w:cs="Times New Roman"/>
          <w:noProof/>
          <w:sz w:val="24"/>
          <w:szCs w:val="24"/>
        </w:rPr>
        <w:drawing>
          <wp:inline distT="0" distB="0" distL="0" distR="0">
            <wp:extent cx="2324100" cy="3629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3629025"/>
                    </a:xfrm>
                    <a:prstGeom prst="rect">
                      <a:avLst/>
                    </a:prstGeom>
                    <a:noFill/>
                    <a:ln>
                      <a:noFill/>
                    </a:ln>
                  </pic:spPr>
                </pic:pic>
              </a:graphicData>
            </a:graphic>
          </wp:inline>
        </w:drawing>
      </w:r>
    </w:p>
    <w:p w:rsidR="00CF7D66" w:rsidRDefault="00CF7D66" w:rsidP="00CF7D66">
      <w:pPr>
        <w:spacing w:line="360" w:lineRule="auto"/>
        <w:ind w:firstLineChars="250" w:firstLine="600"/>
        <w:jc w:val="center"/>
        <w:rPr>
          <w:rFonts w:ascii="宋体" w:cs="Times New Roman"/>
          <w:sz w:val="24"/>
          <w:szCs w:val="24"/>
        </w:rPr>
      </w:pPr>
    </w:p>
    <w:p w:rsidR="00CF7D66" w:rsidRDefault="00CF7D66" w:rsidP="00CF7D66">
      <w:pPr>
        <w:spacing w:line="360" w:lineRule="auto"/>
        <w:ind w:firstLineChars="250" w:firstLine="600"/>
        <w:jc w:val="center"/>
        <w:rPr>
          <w:rFonts w:ascii="宋体" w:cs="Times New Roman"/>
          <w:sz w:val="24"/>
          <w:szCs w:val="24"/>
        </w:rPr>
      </w:pPr>
    </w:p>
    <w:p w:rsidR="00CF7D66" w:rsidRDefault="00CF7D66" w:rsidP="00CF7D66">
      <w:pPr>
        <w:spacing w:line="360" w:lineRule="auto"/>
        <w:rPr>
          <w:rFonts w:ascii="宋体" w:cs="Times New Roman"/>
          <w:sz w:val="24"/>
          <w:szCs w:val="24"/>
        </w:rPr>
      </w:pPr>
    </w:p>
    <w:p w:rsidR="00CF7D66" w:rsidRPr="00B30B87" w:rsidRDefault="00CF7D66" w:rsidP="00CF7D66">
      <w:pPr>
        <w:pStyle w:val="2"/>
        <w:numPr>
          <w:ilvl w:val="0"/>
          <w:numId w:val="1"/>
        </w:numPr>
        <w:tabs>
          <w:tab w:val="left" w:pos="735"/>
        </w:tabs>
        <w:rPr>
          <w:rFonts w:cs="Times New Roman"/>
        </w:rPr>
      </w:pPr>
      <w:bookmarkStart w:id="9" w:name="_Toc384739339"/>
      <w:r w:rsidRPr="00BF0BD7">
        <w:rPr>
          <w:rFonts w:cs="宋体" w:hint="eastAsia"/>
        </w:rPr>
        <w:lastRenderedPageBreak/>
        <w:t>风电机组流固耦合机理与特性研究</w:t>
      </w:r>
      <w:bookmarkEnd w:id="9"/>
    </w:p>
    <w:p w:rsidR="00CF7D66" w:rsidRDefault="00CF7D66" w:rsidP="00CF7D66">
      <w:pPr>
        <w:spacing w:line="360" w:lineRule="auto"/>
        <w:ind w:firstLineChars="250" w:firstLine="600"/>
        <w:rPr>
          <w:rFonts w:ascii="宋体" w:cs="Times New Roman"/>
          <w:sz w:val="24"/>
          <w:szCs w:val="24"/>
        </w:rPr>
      </w:pPr>
      <w:r w:rsidRPr="00BF0BD7">
        <w:rPr>
          <w:rFonts w:ascii="宋体" w:hAnsi="宋体" w:cs="宋体" w:hint="eastAsia"/>
          <w:sz w:val="24"/>
          <w:szCs w:val="24"/>
        </w:rPr>
        <w:t>风电机组是由风轮、塔架和机舱等部件组成的多自由度柔性系统，该柔性系统各部件与随机波动的自然风相互作用，形成了风电机组与湍流风场复杂的流固耦合系统。深入研究风电机组与湍流风场流固耦合机理和动态响应特性是安全高效利用风能发电的关键科学问题。</w:t>
      </w:r>
    </w:p>
    <w:p w:rsidR="00CF7D66" w:rsidRDefault="00CF7D66" w:rsidP="00CF7D66">
      <w:pPr>
        <w:spacing w:line="360" w:lineRule="auto"/>
        <w:ind w:firstLineChars="250" w:firstLine="600"/>
        <w:rPr>
          <w:rFonts w:ascii="宋体" w:cs="Times New Roman"/>
          <w:sz w:val="24"/>
          <w:szCs w:val="24"/>
        </w:rPr>
      </w:pPr>
      <w:r w:rsidRPr="00BF0BD7">
        <w:rPr>
          <w:rFonts w:ascii="宋体" w:hAnsi="宋体" w:cs="宋体" w:hint="eastAsia"/>
          <w:sz w:val="24"/>
          <w:szCs w:val="24"/>
        </w:rPr>
        <w:t>在湍流风、风切变、阵风和偏航等非定常气动条件下，基于计算流体动力学（</w:t>
      </w:r>
      <w:r w:rsidRPr="00BF0BD7">
        <w:rPr>
          <w:rFonts w:ascii="宋体" w:hAnsi="宋体" w:cs="宋体"/>
          <w:sz w:val="24"/>
          <w:szCs w:val="24"/>
        </w:rPr>
        <w:t>CFD</w:t>
      </w:r>
      <w:r w:rsidRPr="00BF0BD7">
        <w:rPr>
          <w:rFonts w:ascii="宋体" w:hAnsi="宋体" w:cs="宋体" w:hint="eastAsia"/>
          <w:sz w:val="24"/>
          <w:szCs w:val="24"/>
        </w:rPr>
        <w:t>）和计算结构动力学（</w:t>
      </w:r>
      <w:r w:rsidRPr="00BF0BD7">
        <w:rPr>
          <w:rFonts w:ascii="宋体" w:hAnsi="宋体" w:cs="宋体"/>
          <w:sz w:val="24"/>
          <w:szCs w:val="24"/>
        </w:rPr>
        <w:t>CSD</w:t>
      </w:r>
      <w:r w:rsidRPr="00BF0BD7">
        <w:rPr>
          <w:rFonts w:ascii="宋体" w:hAnsi="宋体" w:cs="宋体" w:hint="eastAsia"/>
          <w:sz w:val="24"/>
          <w:szCs w:val="24"/>
        </w:rPr>
        <w:t>）对机组系统进行全三维流固耦合数值模拟，研究了叶片变形和塔架位移与气流的相互作用，分析了变形和位移对叶片和塔架载荷的影响，研究了叶片的动态失速特性，获得了不同气动条件下机组系统的振动响应特性和系统稳定性特征。研究成果在陆上</w:t>
      </w:r>
      <w:r w:rsidRPr="00BF0BD7">
        <w:rPr>
          <w:rFonts w:ascii="宋体" w:hAnsi="宋体" w:cs="宋体"/>
          <w:sz w:val="24"/>
          <w:szCs w:val="24"/>
        </w:rPr>
        <w:t>1.5MW</w:t>
      </w:r>
      <w:r w:rsidRPr="00BF0BD7">
        <w:rPr>
          <w:rFonts w:ascii="宋体" w:hAnsi="宋体" w:cs="宋体" w:hint="eastAsia"/>
          <w:sz w:val="24"/>
          <w:szCs w:val="24"/>
        </w:rPr>
        <w:t>、</w:t>
      </w:r>
      <w:r w:rsidRPr="00BF0BD7">
        <w:rPr>
          <w:rFonts w:ascii="宋体" w:hAnsi="宋体" w:cs="宋体"/>
          <w:sz w:val="24"/>
          <w:szCs w:val="24"/>
        </w:rPr>
        <w:t xml:space="preserve">2MW </w:t>
      </w:r>
      <w:r w:rsidRPr="00BF0BD7">
        <w:rPr>
          <w:rFonts w:ascii="宋体" w:hAnsi="宋体" w:cs="宋体" w:hint="eastAsia"/>
          <w:sz w:val="24"/>
          <w:szCs w:val="24"/>
        </w:rPr>
        <w:t>和海上</w:t>
      </w:r>
      <w:r w:rsidRPr="00BF0BD7">
        <w:rPr>
          <w:rFonts w:ascii="宋体" w:hAnsi="宋体" w:cs="宋体"/>
          <w:sz w:val="24"/>
          <w:szCs w:val="24"/>
        </w:rPr>
        <w:t>3MW</w:t>
      </w:r>
      <w:r w:rsidRPr="00BF0BD7">
        <w:rPr>
          <w:rFonts w:ascii="宋体" w:hAnsi="宋体" w:cs="宋体" w:hint="eastAsia"/>
          <w:sz w:val="24"/>
          <w:szCs w:val="24"/>
        </w:rPr>
        <w:t>、</w:t>
      </w:r>
      <w:r w:rsidRPr="00BF0BD7">
        <w:rPr>
          <w:rFonts w:ascii="宋体" w:hAnsi="宋体" w:cs="宋体"/>
          <w:sz w:val="24"/>
          <w:szCs w:val="24"/>
        </w:rPr>
        <w:t xml:space="preserve">5MW </w:t>
      </w:r>
      <w:r w:rsidRPr="00BF0BD7">
        <w:rPr>
          <w:rFonts w:ascii="宋体" w:hAnsi="宋体" w:cs="宋体" w:hint="eastAsia"/>
          <w:sz w:val="24"/>
          <w:szCs w:val="24"/>
        </w:rPr>
        <w:t>风电机组的研究开发项目中应用。</w:t>
      </w:r>
    </w:p>
    <w:p w:rsidR="00CF7D66" w:rsidRPr="004F50C5" w:rsidRDefault="00CF7D66" w:rsidP="00CF7D66">
      <w:pPr>
        <w:spacing w:line="360" w:lineRule="auto"/>
        <w:ind w:firstLineChars="250" w:firstLine="600"/>
        <w:rPr>
          <w:rFonts w:ascii="宋体" w:cs="Times New Roman"/>
          <w:sz w:val="24"/>
          <w:szCs w:val="24"/>
        </w:rPr>
      </w:pPr>
    </w:p>
    <w:p w:rsidR="00CF7D66" w:rsidRDefault="00CF7D66" w:rsidP="00CF7D66">
      <w:pPr>
        <w:spacing w:line="360" w:lineRule="auto"/>
        <w:ind w:firstLineChars="250" w:firstLine="600"/>
        <w:rPr>
          <w:rFonts w:ascii="宋体" w:cs="Times New Roman"/>
          <w:sz w:val="24"/>
          <w:szCs w:val="24"/>
        </w:rPr>
      </w:pPr>
    </w:p>
    <w:p w:rsidR="00CF7D66" w:rsidRDefault="00CF7D66" w:rsidP="00CF7D66">
      <w:pPr>
        <w:spacing w:line="360" w:lineRule="auto"/>
        <w:ind w:firstLineChars="250" w:firstLine="600"/>
        <w:jc w:val="center"/>
        <w:rPr>
          <w:rFonts w:ascii="宋体" w:cs="Times New Roman"/>
          <w:sz w:val="24"/>
          <w:szCs w:val="24"/>
        </w:rPr>
      </w:pPr>
      <w:r>
        <w:rPr>
          <w:rFonts w:ascii="宋体" w:cs="Times New Roman"/>
          <w:noProof/>
          <w:sz w:val="24"/>
          <w:szCs w:val="24"/>
        </w:rPr>
        <w:drawing>
          <wp:inline distT="0" distB="0" distL="0" distR="0">
            <wp:extent cx="5076825" cy="2324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2324100"/>
                    </a:xfrm>
                    <a:prstGeom prst="rect">
                      <a:avLst/>
                    </a:prstGeom>
                    <a:noFill/>
                    <a:ln>
                      <a:noFill/>
                    </a:ln>
                  </pic:spPr>
                </pic:pic>
              </a:graphicData>
            </a:graphic>
          </wp:inline>
        </w:drawing>
      </w:r>
    </w:p>
    <w:p w:rsidR="00CF7D66" w:rsidRDefault="00CF7D66" w:rsidP="00CF7D66">
      <w:pPr>
        <w:spacing w:line="360" w:lineRule="auto"/>
        <w:ind w:firstLineChars="250" w:firstLine="600"/>
        <w:jc w:val="center"/>
        <w:rPr>
          <w:rFonts w:ascii="宋体" w:cs="Times New Roman"/>
          <w:sz w:val="24"/>
          <w:szCs w:val="24"/>
        </w:rPr>
      </w:pPr>
    </w:p>
    <w:p w:rsidR="00CF7D66" w:rsidRDefault="00CF7D66" w:rsidP="00CF7D66">
      <w:pPr>
        <w:spacing w:line="360" w:lineRule="auto"/>
        <w:ind w:firstLineChars="250" w:firstLine="600"/>
        <w:jc w:val="center"/>
        <w:rPr>
          <w:rFonts w:ascii="宋体" w:cs="Times New Roman"/>
          <w:sz w:val="24"/>
          <w:szCs w:val="24"/>
        </w:rPr>
      </w:pPr>
    </w:p>
    <w:p w:rsidR="00CF7D66" w:rsidRDefault="00CF7D66" w:rsidP="00CF7D66">
      <w:pPr>
        <w:spacing w:line="360" w:lineRule="auto"/>
        <w:ind w:firstLineChars="250" w:firstLine="600"/>
        <w:jc w:val="center"/>
        <w:rPr>
          <w:rFonts w:ascii="宋体" w:cs="Times New Roman"/>
          <w:sz w:val="24"/>
          <w:szCs w:val="24"/>
        </w:rPr>
      </w:pPr>
    </w:p>
    <w:p w:rsidR="00CF7D66" w:rsidRDefault="00CF7D66" w:rsidP="00CF7D66">
      <w:pPr>
        <w:spacing w:line="360" w:lineRule="auto"/>
        <w:ind w:firstLineChars="250" w:firstLine="600"/>
        <w:jc w:val="center"/>
        <w:rPr>
          <w:rFonts w:ascii="宋体" w:cs="Times New Roman"/>
          <w:sz w:val="24"/>
          <w:szCs w:val="24"/>
        </w:rPr>
      </w:pPr>
    </w:p>
    <w:p w:rsidR="00CF7D66" w:rsidRDefault="00CF7D66" w:rsidP="00CF7D66">
      <w:pPr>
        <w:spacing w:line="360" w:lineRule="auto"/>
        <w:ind w:firstLineChars="250" w:firstLine="600"/>
        <w:jc w:val="center"/>
        <w:rPr>
          <w:rFonts w:ascii="宋体" w:cs="Times New Roman"/>
          <w:sz w:val="24"/>
          <w:szCs w:val="24"/>
        </w:rPr>
      </w:pPr>
    </w:p>
    <w:p w:rsidR="00CF7D66" w:rsidRDefault="00CF7D66" w:rsidP="00CF7D66">
      <w:pPr>
        <w:spacing w:line="360" w:lineRule="auto"/>
        <w:ind w:firstLineChars="250" w:firstLine="600"/>
        <w:jc w:val="center"/>
        <w:rPr>
          <w:rFonts w:ascii="宋体" w:cs="Times New Roman"/>
          <w:sz w:val="24"/>
          <w:szCs w:val="24"/>
        </w:rPr>
      </w:pPr>
    </w:p>
    <w:p w:rsidR="00CF7D66" w:rsidRDefault="00CF7D66" w:rsidP="00CF7D66">
      <w:pPr>
        <w:spacing w:line="360" w:lineRule="auto"/>
        <w:ind w:firstLineChars="250" w:firstLine="600"/>
        <w:jc w:val="center"/>
        <w:rPr>
          <w:rFonts w:ascii="宋体" w:cs="Times New Roman"/>
          <w:sz w:val="24"/>
          <w:szCs w:val="24"/>
        </w:rPr>
      </w:pPr>
    </w:p>
    <w:p w:rsidR="009A6D36" w:rsidRDefault="009A6D36">
      <w:bookmarkStart w:id="10" w:name="_GoBack"/>
      <w:bookmarkEnd w:id="10"/>
    </w:p>
    <w:sectPr w:rsidR="009A6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C3A" w:rsidRDefault="00AB2C3A" w:rsidP="00CF7D66">
      <w:r>
        <w:separator/>
      </w:r>
    </w:p>
  </w:endnote>
  <w:endnote w:type="continuationSeparator" w:id="0">
    <w:p w:rsidR="00AB2C3A" w:rsidRDefault="00AB2C3A" w:rsidP="00CF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C3A" w:rsidRDefault="00AB2C3A" w:rsidP="00CF7D66">
      <w:r>
        <w:separator/>
      </w:r>
    </w:p>
  </w:footnote>
  <w:footnote w:type="continuationSeparator" w:id="0">
    <w:p w:rsidR="00AB2C3A" w:rsidRDefault="00AB2C3A" w:rsidP="00CF7D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D2926"/>
    <w:multiLevelType w:val="hybridMultilevel"/>
    <w:tmpl w:val="25A216AE"/>
    <w:lvl w:ilvl="0" w:tplc="4694F9F0">
      <w:start w:val="1"/>
      <w:numFmt w:val="decimal"/>
      <w:lvlText w:val="%1."/>
      <w:lvlJc w:val="left"/>
      <w:pPr>
        <w:tabs>
          <w:tab w:val="num" w:pos="420"/>
        </w:tabs>
        <w:ind w:left="420" w:hanging="420"/>
      </w:pPr>
      <w:rPr>
        <w:sz w:val="32"/>
        <w:szCs w:val="32"/>
      </w:rPr>
    </w:lvl>
    <w:lvl w:ilvl="1" w:tplc="0409000F">
      <w:start w:val="1"/>
      <w:numFmt w:val="decimal"/>
      <w:lvlText w:val="%2."/>
      <w:lvlJc w:val="left"/>
      <w:pPr>
        <w:tabs>
          <w:tab w:val="num" w:pos="840"/>
        </w:tabs>
        <w:ind w:left="840" w:hanging="420"/>
      </w:pPr>
      <w:rPr>
        <w:sz w:val="32"/>
        <w:szCs w:val="32"/>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951"/>
    <w:rsid w:val="00040951"/>
    <w:rsid w:val="00076ADF"/>
    <w:rsid w:val="000A07C8"/>
    <w:rsid w:val="004223BF"/>
    <w:rsid w:val="009A6D36"/>
    <w:rsid w:val="00AB2C3A"/>
    <w:rsid w:val="00CF7D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D66"/>
    <w:pPr>
      <w:widowControl w:val="0"/>
      <w:jc w:val="both"/>
    </w:pPr>
    <w:rPr>
      <w:rFonts w:ascii="Calibri" w:eastAsia="宋体" w:hAnsi="Calibri" w:cs="Calibri"/>
      <w:szCs w:val="21"/>
    </w:rPr>
  </w:style>
  <w:style w:type="paragraph" w:styleId="1">
    <w:name w:val="heading 1"/>
    <w:basedOn w:val="a"/>
    <w:next w:val="a"/>
    <w:link w:val="1Char"/>
    <w:uiPriority w:val="99"/>
    <w:qFormat/>
    <w:rsid w:val="00CF7D66"/>
    <w:pPr>
      <w:keepNext/>
      <w:keepLines/>
      <w:spacing w:before="340" w:after="330" w:line="578" w:lineRule="auto"/>
      <w:outlineLvl w:val="0"/>
    </w:pPr>
    <w:rPr>
      <w:rFonts w:ascii="Times New Roman" w:hAnsi="Times New Roman" w:cs="Times New Roman"/>
      <w:b/>
      <w:bCs/>
      <w:kern w:val="44"/>
      <w:sz w:val="28"/>
      <w:szCs w:val="28"/>
    </w:rPr>
  </w:style>
  <w:style w:type="paragraph" w:styleId="2">
    <w:name w:val="heading 2"/>
    <w:basedOn w:val="a"/>
    <w:next w:val="a"/>
    <w:link w:val="2Char1"/>
    <w:uiPriority w:val="99"/>
    <w:qFormat/>
    <w:rsid w:val="00CF7D66"/>
    <w:pPr>
      <w:keepNext/>
      <w:keepLines/>
      <w:spacing w:before="260" w:after="260" w:line="416" w:lineRule="auto"/>
      <w:outlineLvl w:val="1"/>
    </w:pPr>
    <w:rPr>
      <w:rFonts w:ascii="Cambria" w:hAnsi="Cambria" w:cs="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4223BF"/>
    <w:pPr>
      <w:spacing w:before="240" w:after="60" w:line="312" w:lineRule="auto"/>
      <w:jc w:val="center"/>
      <w:outlineLvl w:val="1"/>
    </w:pPr>
    <w:rPr>
      <w:rFonts w:ascii="Cambria" w:hAnsi="Cambria" w:cs="Times New Roman"/>
      <w:b/>
      <w:bCs/>
      <w:kern w:val="28"/>
      <w:sz w:val="32"/>
      <w:szCs w:val="32"/>
    </w:rPr>
  </w:style>
  <w:style w:type="character" w:customStyle="1" w:styleId="Char">
    <w:name w:val="副标题 Char"/>
    <w:basedOn w:val="a0"/>
    <w:link w:val="a3"/>
    <w:uiPriority w:val="11"/>
    <w:rsid w:val="004223BF"/>
    <w:rPr>
      <w:rFonts w:ascii="Cambria" w:eastAsia="宋体" w:hAnsi="Cambria" w:cs="Times New Roman"/>
      <w:b/>
      <w:bCs/>
      <w:kern w:val="28"/>
      <w:sz w:val="32"/>
      <w:szCs w:val="32"/>
    </w:rPr>
  </w:style>
  <w:style w:type="paragraph" w:styleId="a4">
    <w:name w:val="header"/>
    <w:basedOn w:val="a"/>
    <w:link w:val="Char0"/>
    <w:uiPriority w:val="99"/>
    <w:unhideWhenUsed/>
    <w:rsid w:val="00CF7D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F7D66"/>
    <w:rPr>
      <w:rFonts w:ascii="Times New Roman" w:eastAsia="宋体" w:hAnsi="Times New Roman"/>
      <w:sz w:val="18"/>
      <w:szCs w:val="18"/>
    </w:rPr>
  </w:style>
  <w:style w:type="paragraph" w:styleId="a5">
    <w:name w:val="footer"/>
    <w:basedOn w:val="a"/>
    <w:link w:val="Char1"/>
    <w:uiPriority w:val="99"/>
    <w:unhideWhenUsed/>
    <w:rsid w:val="00CF7D66"/>
    <w:pPr>
      <w:tabs>
        <w:tab w:val="center" w:pos="4153"/>
        <w:tab w:val="right" w:pos="8306"/>
      </w:tabs>
      <w:snapToGrid w:val="0"/>
      <w:jc w:val="left"/>
    </w:pPr>
    <w:rPr>
      <w:sz w:val="18"/>
      <w:szCs w:val="18"/>
    </w:rPr>
  </w:style>
  <w:style w:type="character" w:customStyle="1" w:styleId="Char1">
    <w:name w:val="页脚 Char"/>
    <w:basedOn w:val="a0"/>
    <w:link w:val="a5"/>
    <w:uiPriority w:val="99"/>
    <w:rsid w:val="00CF7D66"/>
    <w:rPr>
      <w:rFonts w:ascii="Times New Roman" w:eastAsia="宋体" w:hAnsi="Times New Roman"/>
      <w:sz w:val="18"/>
      <w:szCs w:val="18"/>
    </w:rPr>
  </w:style>
  <w:style w:type="character" w:customStyle="1" w:styleId="1Char">
    <w:name w:val="标题 1 Char"/>
    <w:basedOn w:val="a0"/>
    <w:link w:val="1"/>
    <w:uiPriority w:val="99"/>
    <w:rsid w:val="00CF7D66"/>
    <w:rPr>
      <w:rFonts w:ascii="Times New Roman" w:eastAsia="宋体" w:hAnsi="Times New Roman" w:cs="Times New Roman"/>
      <w:b/>
      <w:bCs/>
      <w:kern w:val="44"/>
      <w:sz w:val="28"/>
      <w:szCs w:val="28"/>
    </w:rPr>
  </w:style>
  <w:style w:type="character" w:customStyle="1" w:styleId="2Char">
    <w:name w:val="标题 2 Char"/>
    <w:basedOn w:val="a0"/>
    <w:uiPriority w:val="9"/>
    <w:semiHidden/>
    <w:rsid w:val="00CF7D66"/>
    <w:rPr>
      <w:rFonts w:asciiTheme="majorHAnsi" w:eastAsiaTheme="majorEastAsia" w:hAnsiTheme="majorHAnsi" w:cstheme="majorBidi"/>
      <w:b/>
      <w:bCs/>
      <w:sz w:val="32"/>
      <w:szCs w:val="32"/>
    </w:rPr>
  </w:style>
  <w:style w:type="character" w:customStyle="1" w:styleId="2Char1">
    <w:name w:val="标题 2 Char1"/>
    <w:basedOn w:val="a0"/>
    <w:link w:val="2"/>
    <w:uiPriority w:val="99"/>
    <w:locked/>
    <w:rsid w:val="00CF7D66"/>
    <w:rPr>
      <w:rFonts w:ascii="Cambria" w:eastAsia="宋体" w:hAnsi="Cambria" w:cs="Cambria"/>
      <w:b/>
      <w:bCs/>
      <w:kern w:val="0"/>
      <w:sz w:val="32"/>
      <w:szCs w:val="32"/>
    </w:rPr>
  </w:style>
  <w:style w:type="paragraph" w:styleId="a6">
    <w:name w:val="Balloon Text"/>
    <w:basedOn w:val="a"/>
    <w:link w:val="Char2"/>
    <w:uiPriority w:val="99"/>
    <w:semiHidden/>
    <w:unhideWhenUsed/>
    <w:rsid w:val="00CF7D66"/>
    <w:rPr>
      <w:sz w:val="18"/>
      <w:szCs w:val="18"/>
    </w:rPr>
  </w:style>
  <w:style w:type="character" w:customStyle="1" w:styleId="Char2">
    <w:name w:val="批注框文本 Char"/>
    <w:basedOn w:val="a0"/>
    <w:link w:val="a6"/>
    <w:uiPriority w:val="99"/>
    <w:semiHidden/>
    <w:rsid w:val="00CF7D66"/>
    <w:rPr>
      <w:rFonts w:ascii="Calibri" w:eastAsia="宋体" w:hAnsi="Calibri" w:cs="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D66"/>
    <w:pPr>
      <w:widowControl w:val="0"/>
      <w:jc w:val="both"/>
    </w:pPr>
    <w:rPr>
      <w:rFonts w:ascii="Calibri" w:eastAsia="宋体" w:hAnsi="Calibri" w:cs="Calibri"/>
      <w:szCs w:val="21"/>
    </w:rPr>
  </w:style>
  <w:style w:type="paragraph" w:styleId="1">
    <w:name w:val="heading 1"/>
    <w:basedOn w:val="a"/>
    <w:next w:val="a"/>
    <w:link w:val="1Char"/>
    <w:uiPriority w:val="99"/>
    <w:qFormat/>
    <w:rsid w:val="00CF7D66"/>
    <w:pPr>
      <w:keepNext/>
      <w:keepLines/>
      <w:spacing w:before="340" w:after="330" w:line="578" w:lineRule="auto"/>
      <w:outlineLvl w:val="0"/>
    </w:pPr>
    <w:rPr>
      <w:rFonts w:ascii="Times New Roman" w:hAnsi="Times New Roman" w:cs="Times New Roman"/>
      <w:b/>
      <w:bCs/>
      <w:kern w:val="44"/>
      <w:sz w:val="28"/>
      <w:szCs w:val="28"/>
    </w:rPr>
  </w:style>
  <w:style w:type="paragraph" w:styleId="2">
    <w:name w:val="heading 2"/>
    <w:basedOn w:val="a"/>
    <w:next w:val="a"/>
    <w:link w:val="2Char1"/>
    <w:uiPriority w:val="99"/>
    <w:qFormat/>
    <w:rsid w:val="00CF7D66"/>
    <w:pPr>
      <w:keepNext/>
      <w:keepLines/>
      <w:spacing w:before="260" w:after="260" w:line="416" w:lineRule="auto"/>
      <w:outlineLvl w:val="1"/>
    </w:pPr>
    <w:rPr>
      <w:rFonts w:ascii="Cambria" w:hAnsi="Cambria" w:cs="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4223BF"/>
    <w:pPr>
      <w:spacing w:before="240" w:after="60" w:line="312" w:lineRule="auto"/>
      <w:jc w:val="center"/>
      <w:outlineLvl w:val="1"/>
    </w:pPr>
    <w:rPr>
      <w:rFonts w:ascii="Cambria" w:hAnsi="Cambria" w:cs="Times New Roman"/>
      <w:b/>
      <w:bCs/>
      <w:kern w:val="28"/>
      <w:sz w:val="32"/>
      <w:szCs w:val="32"/>
    </w:rPr>
  </w:style>
  <w:style w:type="character" w:customStyle="1" w:styleId="Char">
    <w:name w:val="副标题 Char"/>
    <w:basedOn w:val="a0"/>
    <w:link w:val="a3"/>
    <w:uiPriority w:val="11"/>
    <w:rsid w:val="004223BF"/>
    <w:rPr>
      <w:rFonts w:ascii="Cambria" w:eastAsia="宋体" w:hAnsi="Cambria" w:cs="Times New Roman"/>
      <w:b/>
      <w:bCs/>
      <w:kern w:val="28"/>
      <w:sz w:val="32"/>
      <w:szCs w:val="32"/>
    </w:rPr>
  </w:style>
  <w:style w:type="paragraph" w:styleId="a4">
    <w:name w:val="header"/>
    <w:basedOn w:val="a"/>
    <w:link w:val="Char0"/>
    <w:uiPriority w:val="99"/>
    <w:unhideWhenUsed/>
    <w:rsid w:val="00CF7D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F7D66"/>
    <w:rPr>
      <w:rFonts w:ascii="Times New Roman" w:eastAsia="宋体" w:hAnsi="Times New Roman"/>
      <w:sz w:val="18"/>
      <w:szCs w:val="18"/>
    </w:rPr>
  </w:style>
  <w:style w:type="paragraph" w:styleId="a5">
    <w:name w:val="footer"/>
    <w:basedOn w:val="a"/>
    <w:link w:val="Char1"/>
    <w:uiPriority w:val="99"/>
    <w:unhideWhenUsed/>
    <w:rsid w:val="00CF7D66"/>
    <w:pPr>
      <w:tabs>
        <w:tab w:val="center" w:pos="4153"/>
        <w:tab w:val="right" w:pos="8306"/>
      </w:tabs>
      <w:snapToGrid w:val="0"/>
      <w:jc w:val="left"/>
    </w:pPr>
    <w:rPr>
      <w:sz w:val="18"/>
      <w:szCs w:val="18"/>
    </w:rPr>
  </w:style>
  <w:style w:type="character" w:customStyle="1" w:styleId="Char1">
    <w:name w:val="页脚 Char"/>
    <w:basedOn w:val="a0"/>
    <w:link w:val="a5"/>
    <w:uiPriority w:val="99"/>
    <w:rsid w:val="00CF7D66"/>
    <w:rPr>
      <w:rFonts w:ascii="Times New Roman" w:eastAsia="宋体" w:hAnsi="Times New Roman"/>
      <w:sz w:val="18"/>
      <w:szCs w:val="18"/>
    </w:rPr>
  </w:style>
  <w:style w:type="character" w:customStyle="1" w:styleId="1Char">
    <w:name w:val="标题 1 Char"/>
    <w:basedOn w:val="a0"/>
    <w:link w:val="1"/>
    <w:uiPriority w:val="99"/>
    <w:rsid w:val="00CF7D66"/>
    <w:rPr>
      <w:rFonts w:ascii="Times New Roman" w:eastAsia="宋体" w:hAnsi="Times New Roman" w:cs="Times New Roman"/>
      <w:b/>
      <w:bCs/>
      <w:kern w:val="44"/>
      <w:sz w:val="28"/>
      <w:szCs w:val="28"/>
    </w:rPr>
  </w:style>
  <w:style w:type="character" w:customStyle="1" w:styleId="2Char">
    <w:name w:val="标题 2 Char"/>
    <w:basedOn w:val="a0"/>
    <w:uiPriority w:val="9"/>
    <w:semiHidden/>
    <w:rsid w:val="00CF7D66"/>
    <w:rPr>
      <w:rFonts w:asciiTheme="majorHAnsi" w:eastAsiaTheme="majorEastAsia" w:hAnsiTheme="majorHAnsi" w:cstheme="majorBidi"/>
      <w:b/>
      <w:bCs/>
      <w:sz w:val="32"/>
      <w:szCs w:val="32"/>
    </w:rPr>
  </w:style>
  <w:style w:type="character" w:customStyle="1" w:styleId="2Char1">
    <w:name w:val="标题 2 Char1"/>
    <w:basedOn w:val="a0"/>
    <w:link w:val="2"/>
    <w:uiPriority w:val="99"/>
    <w:locked/>
    <w:rsid w:val="00CF7D66"/>
    <w:rPr>
      <w:rFonts w:ascii="Cambria" w:eastAsia="宋体" w:hAnsi="Cambria" w:cs="Cambria"/>
      <w:b/>
      <w:bCs/>
      <w:kern w:val="0"/>
      <w:sz w:val="32"/>
      <w:szCs w:val="32"/>
    </w:rPr>
  </w:style>
  <w:style w:type="paragraph" w:styleId="a6">
    <w:name w:val="Balloon Text"/>
    <w:basedOn w:val="a"/>
    <w:link w:val="Char2"/>
    <w:uiPriority w:val="99"/>
    <w:semiHidden/>
    <w:unhideWhenUsed/>
    <w:rsid w:val="00CF7D66"/>
    <w:rPr>
      <w:sz w:val="18"/>
      <w:szCs w:val="18"/>
    </w:rPr>
  </w:style>
  <w:style w:type="character" w:customStyle="1" w:styleId="Char2">
    <w:name w:val="批注框文本 Char"/>
    <w:basedOn w:val="a0"/>
    <w:link w:val="a6"/>
    <w:uiPriority w:val="99"/>
    <w:semiHidden/>
    <w:rsid w:val="00CF7D66"/>
    <w:rPr>
      <w:rFonts w:ascii="Calibri" w:eastAsia="宋体"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510</Words>
  <Characters>2911</Characters>
  <Application>Microsoft Office Word</Application>
  <DocSecurity>0</DocSecurity>
  <Lines>24</Lines>
  <Paragraphs>6</Paragraphs>
  <ScaleCrop>false</ScaleCrop>
  <Company/>
  <LinksUpToDate>false</LinksUpToDate>
  <CharactersWithSpaces>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2014-07-11T12:28:00Z</dcterms:created>
  <dcterms:modified xsi:type="dcterms:W3CDTF">2014-07-11T12:28:00Z</dcterms:modified>
</cp:coreProperties>
</file>