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1EE" w:rsidRPr="007A3986" w:rsidRDefault="00EB61EE" w:rsidP="00EB61EE">
      <w:pPr>
        <w:pStyle w:val="1"/>
        <w:spacing w:before="0" w:after="0"/>
        <w:rPr>
          <w:kern w:val="0"/>
          <w:sz w:val="36"/>
          <w:szCs w:val="36"/>
        </w:rPr>
      </w:pPr>
      <w:bookmarkStart w:id="0" w:name="_Toc384739340"/>
      <w:r w:rsidRPr="007A3986">
        <w:rPr>
          <w:rFonts w:cs="宋体" w:hint="eastAsia"/>
          <w:kern w:val="0"/>
          <w:sz w:val="36"/>
          <w:szCs w:val="36"/>
        </w:rPr>
        <w:t>五、核科学与工程学院</w:t>
      </w:r>
      <w:bookmarkEnd w:id="0"/>
    </w:p>
    <w:p w:rsidR="00EB61EE" w:rsidRDefault="00EB61EE" w:rsidP="00EB61EE">
      <w:pPr>
        <w:pStyle w:val="2"/>
        <w:numPr>
          <w:ilvl w:val="0"/>
          <w:numId w:val="1"/>
        </w:numPr>
        <w:tabs>
          <w:tab w:val="left" w:pos="735"/>
        </w:tabs>
        <w:spacing w:before="0" w:after="0"/>
        <w:rPr>
          <w:rFonts w:cs="Times New Roman"/>
        </w:rPr>
      </w:pPr>
      <w:bookmarkStart w:id="1" w:name="_Toc384739341"/>
      <w:r w:rsidRPr="00384005">
        <w:rPr>
          <w:rFonts w:cs="宋体" w:hint="eastAsia"/>
        </w:rPr>
        <w:t>快堆系统分析软件开发及快堆仿真机研制</w:t>
      </w:r>
      <w:bookmarkEnd w:id="1"/>
    </w:p>
    <w:p w:rsidR="00EB61EE" w:rsidRDefault="00EB61EE" w:rsidP="00EB61EE">
      <w:pPr>
        <w:autoSpaceDE w:val="0"/>
        <w:autoSpaceDN w:val="0"/>
        <w:adjustRightInd w:val="0"/>
        <w:spacing w:line="360" w:lineRule="auto"/>
        <w:ind w:firstLineChars="200" w:firstLine="480"/>
        <w:jc w:val="left"/>
        <w:rPr>
          <w:rFonts w:ascii="宋体" w:cs="Times New Roman"/>
          <w:kern w:val="0"/>
          <w:sz w:val="24"/>
        </w:rPr>
      </w:pPr>
      <w:r w:rsidRPr="00384005">
        <w:rPr>
          <w:rFonts w:ascii="宋体" w:hAnsi="宋体" w:cs="宋体" w:hint="eastAsia"/>
          <w:kern w:val="0"/>
          <w:sz w:val="24"/>
        </w:rPr>
        <w:t>发展快堆技术对保持核电可持续发展具有十分重要的战略意义。系统分析软件对于核电站安全系统的设计、执照申请与审核、法规制定等工作至关重要。以系统分析软件作为核心计算软件开发快堆仿真机，并对核电站操纵员和管理人员进行培训，是核电站安全经济运行的前提。以中国实验快堆</w:t>
      </w:r>
      <w:r w:rsidRPr="00384005">
        <w:rPr>
          <w:rFonts w:ascii="宋体" w:hAnsi="宋体" w:cs="宋体"/>
          <w:kern w:val="0"/>
          <w:sz w:val="24"/>
        </w:rPr>
        <w:t>(CEFR)</w:t>
      </w:r>
      <w:r w:rsidRPr="00384005">
        <w:rPr>
          <w:rFonts w:ascii="宋体" w:hAnsi="宋体" w:cs="宋体" w:hint="eastAsia"/>
          <w:kern w:val="0"/>
          <w:sz w:val="24"/>
        </w:rPr>
        <w:t>为研究和建模对象，通过建立池式快堆三个回路关键部件的物理模型、开发计算逻辑和算法、编制计算程序等，完成堆芯上腔三维化的池式快堆系统分析软件的开发。该成果成功用于中国实验快堆（</w:t>
      </w:r>
      <w:r w:rsidRPr="00384005">
        <w:rPr>
          <w:rFonts w:ascii="宋体" w:hAnsi="宋体" w:cs="宋体"/>
          <w:kern w:val="0"/>
          <w:sz w:val="24"/>
        </w:rPr>
        <w:t>CEFR</w:t>
      </w:r>
      <w:r w:rsidRPr="00384005">
        <w:rPr>
          <w:rFonts w:ascii="宋体" w:hAnsi="宋体" w:cs="宋体" w:hint="eastAsia"/>
          <w:kern w:val="0"/>
          <w:sz w:val="24"/>
        </w:rPr>
        <w:t>）的首次并网发电。</w:t>
      </w:r>
    </w:p>
    <w:p w:rsidR="00EB61EE" w:rsidRDefault="00EB61EE" w:rsidP="00EB61EE">
      <w:pPr>
        <w:autoSpaceDE w:val="0"/>
        <w:autoSpaceDN w:val="0"/>
        <w:adjustRightInd w:val="0"/>
        <w:spacing w:line="360" w:lineRule="auto"/>
        <w:ind w:firstLineChars="200" w:firstLine="480"/>
        <w:jc w:val="left"/>
        <w:rPr>
          <w:rFonts w:ascii="宋体" w:cs="Times New Roman"/>
          <w:kern w:val="0"/>
          <w:sz w:val="24"/>
        </w:rPr>
      </w:pPr>
      <w:r w:rsidRPr="00384005">
        <w:rPr>
          <w:rFonts w:ascii="宋体" w:hAnsi="宋体" w:cs="宋体" w:hint="eastAsia"/>
          <w:kern w:val="0"/>
          <w:sz w:val="24"/>
        </w:rPr>
        <w:t>通过进一步开发仿真机监控界面、数据通信接口、控制算法模型、仿真机实时数据库等，开发出快堆原理型仿真系统。系统分析软件中关键模型的开发与耦合处于国际先进水平，快堆原理型仿真机的研制填补了我国快堆仿真领域的空白。</w:t>
      </w:r>
    </w:p>
    <w:p w:rsidR="00EB61EE" w:rsidRDefault="00EB61EE" w:rsidP="00EB61EE">
      <w:pPr>
        <w:autoSpaceDE w:val="0"/>
        <w:autoSpaceDN w:val="0"/>
        <w:adjustRightInd w:val="0"/>
        <w:spacing w:line="360" w:lineRule="auto"/>
        <w:ind w:firstLineChars="200" w:firstLine="480"/>
        <w:jc w:val="left"/>
        <w:rPr>
          <w:rFonts w:ascii="宋体" w:cs="Times New Roman"/>
          <w:kern w:val="0"/>
          <w:sz w:val="24"/>
        </w:rPr>
      </w:pPr>
    </w:p>
    <w:p w:rsidR="00EB61EE" w:rsidRDefault="00EB61EE" w:rsidP="00EB61EE">
      <w:pPr>
        <w:autoSpaceDE w:val="0"/>
        <w:autoSpaceDN w:val="0"/>
        <w:adjustRightInd w:val="0"/>
        <w:spacing w:line="360" w:lineRule="auto"/>
        <w:ind w:firstLineChars="200" w:firstLine="480"/>
        <w:jc w:val="left"/>
        <w:rPr>
          <w:rFonts w:ascii="宋体" w:cs="Times New Roman"/>
          <w:kern w:val="0"/>
          <w:sz w:val="24"/>
        </w:rPr>
      </w:pPr>
    </w:p>
    <w:tbl>
      <w:tblPr>
        <w:tblW w:w="0" w:type="auto"/>
        <w:tblInd w:w="2" w:type="dxa"/>
        <w:tblLook w:val="01E0" w:firstRow="1" w:lastRow="1" w:firstColumn="1" w:lastColumn="1" w:noHBand="0" w:noVBand="0"/>
      </w:tblPr>
      <w:tblGrid>
        <w:gridCol w:w="4260"/>
        <w:gridCol w:w="4260"/>
      </w:tblGrid>
      <w:tr w:rsidR="00EB61EE" w:rsidTr="001519AE">
        <w:tc>
          <w:tcPr>
            <w:tcW w:w="4261" w:type="dxa"/>
          </w:tcPr>
          <w:p w:rsidR="00EB61EE" w:rsidRPr="001117E0" w:rsidRDefault="00EB61EE" w:rsidP="001519AE">
            <w:pPr>
              <w:autoSpaceDE w:val="0"/>
              <w:autoSpaceDN w:val="0"/>
              <w:adjustRightInd w:val="0"/>
              <w:spacing w:line="360" w:lineRule="auto"/>
              <w:jc w:val="left"/>
              <w:rPr>
                <w:rFonts w:ascii="宋体" w:cs="Times New Roman"/>
                <w:kern w:val="0"/>
                <w:sz w:val="24"/>
              </w:rPr>
            </w:pPr>
            <w:r>
              <w:rPr>
                <w:rFonts w:ascii="宋体" w:cs="Times New Roman"/>
                <w:noProof/>
                <w:sz w:val="24"/>
              </w:rPr>
              <w:drawing>
                <wp:inline distT="0" distB="0" distL="0" distR="0">
                  <wp:extent cx="2714625" cy="180975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1809750"/>
                          </a:xfrm>
                          <a:prstGeom prst="rect">
                            <a:avLst/>
                          </a:prstGeom>
                          <a:noFill/>
                          <a:ln>
                            <a:noFill/>
                          </a:ln>
                        </pic:spPr>
                      </pic:pic>
                    </a:graphicData>
                  </a:graphic>
                </wp:inline>
              </w:drawing>
            </w:r>
          </w:p>
        </w:tc>
        <w:tc>
          <w:tcPr>
            <w:tcW w:w="4261" w:type="dxa"/>
          </w:tcPr>
          <w:p w:rsidR="00EB61EE" w:rsidRPr="001117E0" w:rsidRDefault="00EB61EE" w:rsidP="001519AE">
            <w:pPr>
              <w:autoSpaceDE w:val="0"/>
              <w:autoSpaceDN w:val="0"/>
              <w:adjustRightInd w:val="0"/>
              <w:spacing w:line="360" w:lineRule="auto"/>
              <w:jc w:val="left"/>
              <w:rPr>
                <w:rFonts w:ascii="宋体" w:cs="Times New Roman"/>
                <w:kern w:val="0"/>
                <w:sz w:val="24"/>
              </w:rPr>
            </w:pPr>
            <w:r>
              <w:rPr>
                <w:rFonts w:ascii="宋体" w:cs="Times New Roman"/>
                <w:noProof/>
                <w:sz w:val="24"/>
              </w:rPr>
              <w:drawing>
                <wp:inline distT="0" distB="0" distL="0" distR="0">
                  <wp:extent cx="2724150" cy="168592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150" cy="1685925"/>
                          </a:xfrm>
                          <a:prstGeom prst="rect">
                            <a:avLst/>
                          </a:prstGeom>
                          <a:noFill/>
                          <a:ln>
                            <a:noFill/>
                          </a:ln>
                        </pic:spPr>
                      </pic:pic>
                    </a:graphicData>
                  </a:graphic>
                </wp:inline>
              </w:drawing>
            </w:r>
          </w:p>
        </w:tc>
      </w:tr>
    </w:tbl>
    <w:p w:rsidR="00EB61EE" w:rsidRDefault="00EB61EE" w:rsidP="00EB61EE">
      <w:pPr>
        <w:autoSpaceDE w:val="0"/>
        <w:autoSpaceDN w:val="0"/>
        <w:adjustRightInd w:val="0"/>
        <w:spacing w:line="360" w:lineRule="auto"/>
        <w:ind w:firstLineChars="200" w:firstLine="480"/>
        <w:jc w:val="left"/>
        <w:rPr>
          <w:rFonts w:ascii="宋体" w:cs="Times New Roman"/>
          <w:kern w:val="0"/>
          <w:sz w:val="24"/>
        </w:rPr>
      </w:pPr>
    </w:p>
    <w:p w:rsidR="00EB61EE" w:rsidRDefault="00EB61EE" w:rsidP="00EB61EE">
      <w:pPr>
        <w:autoSpaceDE w:val="0"/>
        <w:autoSpaceDN w:val="0"/>
        <w:adjustRightInd w:val="0"/>
        <w:spacing w:line="360" w:lineRule="auto"/>
        <w:ind w:firstLineChars="200" w:firstLine="480"/>
        <w:jc w:val="left"/>
        <w:rPr>
          <w:rFonts w:ascii="宋体" w:cs="Times New Roman"/>
          <w:kern w:val="0"/>
          <w:sz w:val="24"/>
        </w:rPr>
      </w:pPr>
    </w:p>
    <w:p w:rsidR="00EB61EE" w:rsidRDefault="00EB61EE" w:rsidP="00EB61EE">
      <w:pPr>
        <w:autoSpaceDE w:val="0"/>
        <w:autoSpaceDN w:val="0"/>
        <w:adjustRightInd w:val="0"/>
        <w:spacing w:line="360" w:lineRule="auto"/>
        <w:jc w:val="left"/>
        <w:rPr>
          <w:rFonts w:ascii="宋体" w:cs="Times New Roman"/>
          <w:kern w:val="0"/>
          <w:sz w:val="24"/>
        </w:rPr>
      </w:pPr>
    </w:p>
    <w:p w:rsidR="00EB61EE" w:rsidRDefault="00EB61EE" w:rsidP="00EB61EE">
      <w:pPr>
        <w:autoSpaceDE w:val="0"/>
        <w:autoSpaceDN w:val="0"/>
        <w:adjustRightInd w:val="0"/>
        <w:spacing w:line="360" w:lineRule="auto"/>
        <w:jc w:val="left"/>
        <w:rPr>
          <w:rFonts w:ascii="宋体" w:cs="Times New Roman"/>
          <w:kern w:val="0"/>
          <w:sz w:val="24"/>
        </w:rPr>
      </w:pPr>
    </w:p>
    <w:p w:rsidR="00EB61EE" w:rsidRDefault="00EB61EE" w:rsidP="00EB61EE">
      <w:pPr>
        <w:autoSpaceDE w:val="0"/>
        <w:autoSpaceDN w:val="0"/>
        <w:adjustRightInd w:val="0"/>
        <w:spacing w:line="360" w:lineRule="auto"/>
        <w:jc w:val="left"/>
        <w:rPr>
          <w:rFonts w:ascii="宋体" w:cs="Times New Roman"/>
          <w:kern w:val="0"/>
          <w:sz w:val="24"/>
        </w:rPr>
      </w:pPr>
    </w:p>
    <w:p w:rsidR="00EB61EE" w:rsidRPr="007A3986" w:rsidRDefault="00EB61EE" w:rsidP="00EB61EE">
      <w:pPr>
        <w:pStyle w:val="2"/>
        <w:numPr>
          <w:ilvl w:val="0"/>
          <w:numId w:val="1"/>
        </w:numPr>
        <w:tabs>
          <w:tab w:val="left" w:pos="735"/>
        </w:tabs>
        <w:rPr>
          <w:rFonts w:cs="Times New Roman"/>
        </w:rPr>
      </w:pPr>
      <w:bookmarkStart w:id="2" w:name="_Toc384739342"/>
      <w:r w:rsidRPr="00384005">
        <w:rPr>
          <w:rFonts w:cs="宋体" w:hint="eastAsia"/>
        </w:rPr>
        <w:lastRenderedPageBreak/>
        <w:t>基于磁性温度感知合金的核电站非能动停堆技术研究</w:t>
      </w:r>
      <w:bookmarkEnd w:id="2"/>
    </w:p>
    <w:p w:rsidR="00EB61EE" w:rsidRDefault="00EB61EE" w:rsidP="00EB61EE">
      <w:pPr>
        <w:autoSpaceDE w:val="0"/>
        <w:autoSpaceDN w:val="0"/>
        <w:adjustRightInd w:val="0"/>
        <w:spacing w:line="360" w:lineRule="auto"/>
        <w:ind w:firstLineChars="200" w:firstLine="480"/>
        <w:jc w:val="left"/>
        <w:rPr>
          <w:rFonts w:ascii="宋体" w:cs="Times New Roman"/>
          <w:kern w:val="0"/>
          <w:sz w:val="24"/>
        </w:rPr>
      </w:pPr>
      <w:r w:rsidRPr="00384005">
        <w:rPr>
          <w:rFonts w:ascii="宋体" w:hAnsi="宋体" w:cs="宋体" w:hint="eastAsia"/>
          <w:kern w:val="0"/>
          <w:sz w:val="24"/>
        </w:rPr>
        <w:t>电站的安全性和可靠性是我国核电事业发展的关键。基于磁性温度感知合金的核电站非能动停堆系统是将控制棒与驱动机构间用磁性物质连接，利用磁性材料具有居里点温度的特性，实现非能动停堆。该系统利用自然力量实现核电站安全保护功能，能有效提高反应堆的安全系数。</w:t>
      </w:r>
    </w:p>
    <w:p w:rsidR="00EB61EE" w:rsidRDefault="00EB61EE" w:rsidP="00EB61EE">
      <w:pPr>
        <w:autoSpaceDE w:val="0"/>
        <w:autoSpaceDN w:val="0"/>
        <w:adjustRightInd w:val="0"/>
        <w:spacing w:line="360" w:lineRule="auto"/>
        <w:ind w:firstLineChars="200" w:firstLine="480"/>
        <w:jc w:val="left"/>
        <w:rPr>
          <w:rFonts w:ascii="宋体" w:cs="Times New Roman"/>
          <w:kern w:val="0"/>
          <w:sz w:val="24"/>
        </w:rPr>
      </w:pPr>
      <w:r w:rsidRPr="00384005">
        <w:rPr>
          <w:rFonts w:ascii="宋体" w:hAnsi="宋体" w:cs="宋体" w:hint="eastAsia"/>
          <w:kern w:val="0"/>
          <w:sz w:val="24"/>
        </w:rPr>
        <w:t>该技术以中国实验快堆为试用对象，首先通过研究温度感知永磁体和居里点软磁合金的成分配方，制备出居里点软磁合金</w:t>
      </w:r>
      <w:r w:rsidRPr="00384005">
        <w:rPr>
          <w:rFonts w:ascii="宋体" w:hAnsi="宋体" w:cs="宋体"/>
          <w:kern w:val="0"/>
          <w:sz w:val="24"/>
        </w:rPr>
        <w:t xml:space="preserve">Fe-Ni-(Co, Cu, Mo, Cr, </w:t>
      </w:r>
      <w:proofErr w:type="spellStart"/>
      <w:r w:rsidRPr="00384005">
        <w:rPr>
          <w:rFonts w:ascii="宋体" w:hAnsi="宋体" w:cs="宋体"/>
          <w:kern w:val="0"/>
          <w:sz w:val="24"/>
        </w:rPr>
        <w:t>Mn</w:t>
      </w:r>
      <w:proofErr w:type="spellEnd"/>
      <w:r w:rsidRPr="00384005">
        <w:rPr>
          <w:rFonts w:ascii="宋体" w:hAnsi="宋体" w:cs="宋体"/>
          <w:kern w:val="0"/>
          <w:sz w:val="24"/>
        </w:rPr>
        <w:t xml:space="preserve"> </w:t>
      </w:r>
      <w:r w:rsidRPr="00384005">
        <w:rPr>
          <w:rFonts w:ascii="宋体" w:hAnsi="宋体" w:cs="宋体" w:hint="eastAsia"/>
          <w:kern w:val="0"/>
          <w:sz w:val="24"/>
        </w:rPr>
        <w:t>等</w:t>
      </w:r>
      <w:r w:rsidRPr="00384005">
        <w:rPr>
          <w:rFonts w:ascii="宋体" w:hAnsi="宋体" w:cs="宋体"/>
          <w:kern w:val="0"/>
          <w:sz w:val="24"/>
        </w:rPr>
        <w:t>)</w:t>
      </w:r>
      <w:r w:rsidRPr="00384005">
        <w:rPr>
          <w:rFonts w:ascii="宋体" w:hAnsi="宋体" w:cs="宋体" w:hint="eastAsia"/>
          <w:kern w:val="0"/>
          <w:sz w:val="24"/>
        </w:rPr>
        <w:t>和温度感知永磁材料。通过进一步设计并制造出由温度感知永磁体和居里点软磁合金构成的磁性居里点合金组件，并最终开发出温度触发的非能动停堆系统的控制棒驱动装置，完成堆外模拟实验。</w:t>
      </w:r>
    </w:p>
    <w:p w:rsidR="00EB61EE" w:rsidRDefault="00EB61EE" w:rsidP="00EB61EE">
      <w:pPr>
        <w:autoSpaceDE w:val="0"/>
        <w:autoSpaceDN w:val="0"/>
        <w:adjustRightInd w:val="0"/>
        <w:spacing w:line="360" w:lineRule="auto"/>
        <w:ind w:firstLineChars="200" w:firstLine="480"/>
        <w:jc w:val="left"/>
        <w:rPr>
          <w:rFonts w:ascii="宋体" w:cs="Times New Roman"/>
          <w:kern w:val="0"/>
          <w:sz w:val="24"/>
        </w:rPr>
      </w:pPr>
      <w:r w:rsidRPr="00384005">
        <w:rPr>
          <w:rFonts w:ascii="宋体" w:hAnsi="宋体" w:cs="宋体" w:hint="eastAsia"/>
          <w:kern w:val="0"/>
          <w:sz w:val="24"/>
        </w:rPr>
        <w:t>通过该非能动停堆装置的研发，掌握了非能动智能触发停堆系统技术中的关键问题，占领了非能动停堆技术工程化领域的先机。已获得实用新型专利</w:t>
      </w:r>
      <w:r w:rsidRPr="00384005">
        <w:rPr>
          <w:rFonts w:ascii="宋体" w:hAnsi="宋体" w:cs="宋体"/>
          <w:kern w:val="0"/>
          <w:sz w:val="24"/>
        </w:rPr>
        <w:t xml:space="preserve">2 </w:t>
      </w:r>
      <w:r w:rsidRPr="00384005">
        <w:rPr>
          <w:rFonts w:ascii="宋体" w:hAnsi="宋体" w:cs="宋体" w:hint="eastAsia"/>
          <w:kern w:val="0"/>
          <w:sz w:val="24"/>
        </w:rPr>
        <w:t>项，发表论文</w:t>
      </w:r>
      <w:r w:rsidRPr="00384005">
        <w:rPr>
          <w:rFonts w:ascii="宋体" w:hAnsi="宋体" w:cs="宋体"/>
          <w:kern w:val="0"/>
          <w:sz w:val="24"/>
        </w:rPr>
        <w:t xml:space="preserve">5 </w:t>
      </w:r>
      <w:r w:rsidRPr="00384005">
        <w:rPr>
          <w:rFonts w:ascii="宋体" w:hAnsi="宋体" w:cs="宋体" w:hint="eastAsia"/>
          <w:kern w:val="0"/>
          <w:sz w:val="24"/>
        </w:rPr>
        <w:t>篇。</w:t>
      </w:r>
    </w:p>
    <w:p w:rsidR="00EB61EE" w:rsidRDefault="00EB61EE" w:rsidP="00EB61EE">
      <w:pPr>
        <w:autoSpaceDE w:val="0"/>
        <w:autoSpaceDN w:val="0"/>
        <w:adjustRightInd w:val="0"/>
        <w:spacing w:line="360" w:lineRule="auto"/>
        <w:ind w:firstLineChars="200" w:firstLine="480"/>
        <w:jc w:val="left"/>
        <w:rPr>
          <w:rFonts w:ascii="宋体" w:cs="Times New Roman"/>
          <w:kern w:val="0"/>
          <w:sz w:val="24"/>
        </w:rPr>
      </w:pPr>
    </w:p>
    <w:tbl>
      <w:tblPr>
        <w:tblW w:w="0" w:type="auto"/>
        <w:tblInd w:w="2" w:type="dxa"/>
        <w:tblLook w:val="01E0" w:firstRow="1" w:lastRow="1" w:firstColumn="1" w:lastColumn="1" w:noHBand="0" w:noVBand="0"/>
      </w:tblPr>
      <w:tblGrid>
        <w:gridCol w:w="4261"/>
        <w:gridCol w:w="4259"/>
      </w:tblGrid>
      <w:tr w:rsidR="00EB61EE" w:rsidTr="001519AE">
        <w:trPr>
          <w:trHeight w:val="4099"/>
        </w:trPr>
        <w:tc>
          <w:tcPr>
            <w:tcW w:w="4261" w:type="dxa"/>
          </w:tcPr>
          <w:p w:rsidR="00EB61EE" w:rsidRPr="001117E0" w:rsidRDefault="00EB61EE" w:rsidP="001519AE">
            <w:pPr>
              <w:autoSpaceDE w:val="0"/>
              <w:autoSpaceDN w:val="0"/>
              <w:adjustRightInd w:val="0"/>
              <w:spacing w:line="360" w:lineRule="auto"/>
              <w:jc w:val="left"/>
              <w:rPr>
                <w:rFonts w:ascii="宋体" w:cs="Times New Roman"/>
                <w:kern w:val="0"/>
                <w:sz w:val="24"/>
              </w:rPr>
            </w:pPr>
            <w:r>
              <w:rPr>
                <w:rFonts w:ascii="Calibri" w:cs="Calibri"/>
                <w:noProof/>
                <w:szCs w:val="21"/>
              </w:rPr>
              <w:drawing>
                <wp:anchor distT="0" distB="0" distL="114300" distR="114300" simplePos="0" relativeHeight="251661312" behindDoc="1" locked="1" layoutInCell="1" allowOverlap="0">
                  <wp:simplePos x="0" y="0"/>
                  <wp:positionH relativeFrom="column">
                    <wp:posOffset>-2322830</wp:posOffset>
                  </wp:positionH>
                  <wp:positionV relativeFrom="paragraph">
                    <wp:posOffset>66040</wp:posOffset>
                  </wp:positionV>
                  <wp:extent cx="2334895" cy="2258695"/>
                  <wp:effectExtent l="0" t="0" r="8255" b="8255"/>
                  <wp:wrapTight wrapText="bothSides">
                    <wp:wrapPolygon edited="0">
                      <wp:start x="0" y="0"/>
                      <wp:lineTo x="0" y="21497"/>
                      <wp:lineTo x="21500" y="21497"/>
                      <wp:lineTo x="21500" y="0"/>
                      <wp:lineTo x="0" y="0"/>
                    </wp:wrapPolygon>
                  </wp:wrapTight>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4895" cy="2258695"/>
                          </a:xfrm>
                          <a:prstGeom prst="rect">
                            <a:avLst/>
                          </a:prstGeom>
                          <a:noFill/>
                        </pic:spPr>
                      </pic:pic>
                    </a:graphicData>
                  </a:graphic>
                  <wp14:sizeRelH relativeFrom="page">
                    <wp14:pctWidth>0</wp14:pctWidth>
                  </wp14:sizeRelH>
                  <wp14:sizeRelV relativeFrom="page">
                    <wp14:pctHeight>0</wp14:pctHeight>
                  </wp14:sizeRelV>
                </wp:anchor>
              </w:drawing>
            </w:r>
          </w:p>
        </w:tc>
        <w:tc>
          <w:tcPr>
            <w:tcW w:w="4261" w:type="dxa"/>
          </w:tcPr>
          <w:p w:rsidR="00EB61EE" w:rsidRPr="001117E0" w:rsidRDefault="00EB61EE" w:rsidP="001519AE">
            <w:pPr>
              <w:autoSpaceDE w:val="0"/>
              <w:autoSpaceDN w:val="0"/>
              <w:adjustRightInd w:val="0"/>
              <w:spacing w:line="360" w:lineRule="auto"/>
              <w:jc w:val="left"/>
              <w:rPr>
                <w:rFonts w:ascii="宋体" w:cs="Times New Roman"/>
                <w:kern w:val="0"/>
                <w:sz w:val="24"/>
              </w:rPr>
            </w:pPr>
            <w:r>
              <w:rPr>
                <w:rFonts w:ascii="Calibri" w:cs="Calibri"/>
                <w:noProof/>
                <w:szCs w:val="21"/>
              </w:rPr>
              <w:drawing>
                <wp:anchor distT="0" distB="0" distL="114300" distR="114300" simplePos="0" relativeHeight="251659264" behindDoc="0" locked="1" layoutInCell="1" allowOverlap="1">
                  <wp:simplePos x="0" y="0"/>
                  <wp:positionH relativeFrom="column">
                    <wp:posOffset>161290</wp:posOffset>
                  </wp:positionH>
                  <wp:positionV relativeFrom="paragraph">
                    <wp:posOffset>113030</wp:posOffset>
                  </wp:positionV>
                  <wp:extent cx="2244090" cy="2228215"/>
                  <wp:effectExtent l="0" t="0" r="3810" b="63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4090" cy="2228215"/>
                          </a:xfrm>
                          <a:prstGeom prst="rect">
                            <a:avLst/>
                          </a:prstGeom>
                          <a:noFill/>
                        </pic:spPr>
                      </pic:pic>
                    </a:graphicData>
                  </a:graphic>
                  <wp14:sizeRelH relativeFrom="page">
                    <wp14:pctWidth>0</wp14:pctWidth>
                  </wp14:sizeRelH>
                  <wp14:sizeRelV relativeFrom="page">
                    <wp14:pctHeight>0</wp14:pctHeight>
                  </wp14:sizeRelV>
                </wp:anchor>
              </w:drawing>
            </w:r>
          </w:p>
        </w:tc>
      </w:tr>
    </w:tbl>
    <w:p w:rsidR="00EB61EE" w:rsidRDefault="00EB61EE" w:rsidP="00EB61EE">
      <w:pPr>
        <w:autoSpaceDE w:val="0"/>
        <w:autoSpaceDN w:val="0"/>
        <w:adjustRightInd w:val="0"/>
        <w:spacing w:line="360" w:lineRule="auto"/>
        <w:ind w:firstLineChars="200" w:firstLine="480"/>
        <w:jc w:val="left"/>
        <w:rPr>
          <w:rFonts w:ascii="宋体" w:cs="Times New Roman"/>
          <w:kern w:val="0"/>
          <w:sz w:val="24"/>
        </w:rPr>
      </w:pPr>
    </w:p>
    <w:p w:rsidR="00EB61EE" w:rsidRDefault="00EB61EE" w:rsidP="00EB61EE">
      <w:pPr>
        <w:autoSpaceDE w:val="0"/>
        <w:autoSpaceDN w:val="0"/>
        <w:adjustRightInd w:val="0"/>
        <w:spacing w:line="360" w:lineRule="auto"/>
        <w:ind w:firstLineChars="200" w:firstLine="480"/>
        <w:jc w:val="left"/>
        <w:rPr>
          <w:rFonts w:ascii="宋体" w:cs="Times New Roman"/>
          <w:kern w:val="0"/>
          <w:sz w:val="24"/>
        </w:rPr>
      </w:pPr>
    </w:p>
    <w:p w:rsidR="00EB61EE" w:rsidRDefault="00EB61EE" w:rsidP="00EB61EE">
      <w:pPr>
        <w:autoSpaceDE w:val="0"/>
        <w:autoSpaceDN w:val="0"/>
        <w:adjustRightInd w:val="0"/>
        <w:spacing w:line="360" w:lineRule="auto"/>
        <w:ind w:firstLineChars="200" w:firstLine="480"/>
        <w:jc w:val="left"/>
        <w:rPr>
          <w:rFonts w:ascii="宋体" w:cs="Times New Roman"/>
          <w:kern w:val="0"/>
          <w:sz w:val="24"/>
        </w:rPr>
      </w:pPr>
    </w:p>
    <w:p w:rsidR="00EB61EE" w:rsidRDefault="00EB61EE" w:rsidP="00EB61EE">
      <w:pPr>
        <w:autoSpaceDE w:val="0"/>
        <w:autoSpaceDN w:val="0"/>
        <w:adjustRightInd w:val="0"/>
        <w:spacing w:line="360" w:lineRule="auto"/>
        <w:ind w:firstLineChars="200" w:firstLine="480"/>
        <w:jc w:val="left"/>
        <w:rPr>
          <w:rFonts w:ascii="宋体" w:cs="Times New Roman"/>
          <w:kern w:val="0"/>
          <w:sz w:val="24"/>
        </w:rPr>
      </w:pPr>
    </w:p>
    <w:p w:rsidR="00EB61EE" w:rsidRDefault="00EB61EE" w:rsidP="00EB61EE">
      <w:pPr>
        <w:autoSpaceDE w:val="0"/>
        <w:autoSpaceDN w:val="0"/>
        <w:adjustRightInd w:val="0"/>
        <w:spacing w:line="360" w:lineRule="auto"/>
        <w:jc w:val="left"/>
        <w:rPr>
          <w:rFonts w:ascii="宋体" w:cs="Times New Roman"/>
          <w:kern w:val="0"/>
          <w:sz w:val="24"/>
        </w:rPr>
      </w:pPr>
    </w:p>
    <w:p w:rsidR="00EB61EE" w:rsidRPr="00F9483E" w:rsidRDefault="00EB61EE" w:rsidP="00EB61EE">
      <w:pPr>
        <w:pStyle w:val="2"/>
        <w:numPr>
          <w:ilvl w:val="0"/>
          <w:numId w:val="1"/>
        </w:numPr>
        <w:rPr>
          <w:rFonts w:cs="Times New Roman"/>
          <w:sz w:val="24"/>
          <w:szCs w:val="24"/>
        </w:rPr>
      </w:pPr>
      <w:bookmarkStart w:id="3" w:name="_Toc384739343"/>
      <w:r w:rsidRPr="00384005">
        <w:rPr>
          <w:rFonts w:cs="宋体" w:hint="eastAsia"/>
        </w:rPr>
        <w:lastRenderedPageBreak/>
        <w:t>核反应堆物理与屏蔽程序开发与研究</w:t>
      </w:r>
      <w:bookmarkEnd w:id="3"/>
    </w:p>
    <w:p w:rsidR="00EB61EE" w:rsidRPr="00384005" w:rsidRDefault="00EB61EE" w:rsidP="00EB61EE">
      <w:pPr>
        <w:autoSpaceDE w:val="0"/>
        <w:autoSpaceDN w:val="0"/>
        <w:adjustRightInd w:val="0"/>
        <w:spacing w:line="360" w:lineRule="auto"/>
        <w:ind w:firstLineChars="200" w:firstLine="480"/>
        <w:jc w:val="left"/>
        <w:rPr>
          <w:rFonts w:ascii="宋体" w:cs="Times New Roman"/>
          <w:kern w:val="0"/>
          <w:sz w:val="24"/>
        </w:rPr>
      </w:pPr>
      <w:r w:rsidRPr="00384005">
        <w:rPr>
          <w:rFonts w:ascii="宋体" w:hAnsi="宋体" w:cs="宋体" w:hint="eastAsia"/>
          <w:kern w:val="0"/>
          <w:sz w:val="24"/>
        </w:rPr>
        <w:t>针对我国核电自主化的战略需求，建立自主化的多功能、多维耦合的核电中子物理与屏蔽软件分析模拟平台，开发具有自主知识产权的核电中子物理与</w:t>
      </w:r>
    </w:p>
    <w:p w:rsidR="00EB61EE" w:rsidRDefault="00EB61EE" w:rsidP="00EB61EE">
      <w:pPr>
        <w:autoSpaceDE w:val="0"/>
        <w:autoSpaceDN w:val="0"/>
        <w:adjustRightInd w:val="0"/>
        <w:spacing w:line="360" w:lineRule="auto"/>
        <w:jc w:val="left"/>
        <w:rPr>
          <w:rFonts w:ascii="宋体" w:cs="Times New Roman"/>
          <w:kern w:val="0"/>
          <w:sz w:val="24"/>
        </w:rPr>
      </w:pPr>
      <w:r w:rsidRPr="00384005">
        <w:rPr>
          <w:rFonts w:ascii="宋体" w:hAnsi="宋体" w:cs="宋体" w:hint="eastAsia"/>
          <w:kern w:val="0"/>
          <w:sz w:val="24"/>
        </w:rPr>
        <w:t>屏蔽设计分析软件，是核反应堆物理领域面临的前沿和挑战性课题。</w:t>
      </w:r>
    </w:p>
    <w:p w:rsidR="00EB61EE" w:rsidRDefault="00EB61EE" w:rsidP="00EB61EE">
      <w:pPr>
        <w:autoSpaceDE w:val="0"/>
        <w:autoSpaceDN w:val="0"/>
        <w:adjustRightInd w:val="0"/>
        <w:spacing w:line="360" w:lineRule="auto"/>
        <w:ind w:firstLineChars="200" w:firstLine="480"/>
        <w:jc w:val="left"/>
        <w:rPr>
          <w:rFonts w:ascii="宋体" w:cs="Times New Roman"/>
          <w:kern w:val="0"/>
          <w:sz w:val="24"/>
        </w:rPr>
      </w:pPr>
      <w:r w:rsidRPr="00384005">
        <w:rPr>
          <w:rFonts w:ascii="宋体" w:hAnsi="宋体" w:cs="宋体" w:hint="eastAsia"/>
          <w:kern w:val="0"/>
          <w:sz w:val="24"/>
        </w:rPr>
        <w:t>本研究在中子输运理论及其数值模拟、大型核装置三维精确辐射屏蔽方法及应用、聚变中子学、核燃料循环与后处理研究等方面开展了大量工作，与国内重要的核电企业及研究设计单位建立了密切的合作关系，开发了一系列先进计算方法、程序及核截面数据库。本方向凝聚了一批高学历、具有海外背景的中青年教师，是国内为数不多、高校中唯一掌握大型核装置三维精确屏蔽设计能力的科研团队。近</w:t>
      </w:r>
      <w:r w:rsidRPr="00384005">
        <w:rPr>
          <w:rFonts w:ascii="宋体" w:hAnsi="宋体" w:cs="宋体"/>
          <w:kern w:val="0"/>
          <w:sz w:val="24"/>
        </w:rPr>
        <w:t xml:space="preserve">5 </w:t>
      </w:r>
      <w:r w:rsidRPr="00384005">
        <w:rPr>
          <w:rFonts w:ascii="宋体" w:hAnsi="宋体" w:cs="宋体" w:hint="eastAsia"/>
          <w:kern w:val="0"/>
          <w:sz w:val="24"/>
        </w:rPr>
        <w:t>年发表学术论文</w:t>
      </w:r>
      <w:r w:rsidRPr="00384005">
        <w:rPr>
          <w:rFonts w:ascii="宋体" w:hAnsi="宋体" w:cs="宋体"/>
          <w:kern w:val="0"/>
          <w:sz w:val="24"/>
        </w:rPr>
        <w:t xml:space="preserve">180 </w:t>
      </w:r>
      <w:r w:rsidRPr="00384005">
        <w:rPr>
          <w:rFonts w:ascii="宋体" w:hAnsi="宋体" w:cs="宋体" w:hint="eastAsia"/>
          <w:kern w:val="0"/>
          <w:sz w:val="24"/>
        </w:rPr>
        <w:t>余篇，三大检索论文</w:t>
      </w:r>
      <w:r w:rsidRPr="00384005">
        <w:rPr>
          <w:rFonts w:ascii="宋体" w:hAnsi="宋体" w:cs="宋体"/>
          <w:kern w:val="0"/>
          <w:sz w:val="24"/>
        </w:rPr>
        <w:t xml:space="preserve">40 </w:t>
      </w:r>
      <w:r w:rsidRPr="00384005">
        <w:rPr>
          <w:rFonts w:ascii="宋体" w:hAnsi="宋体" w:cs="宋体" w:hint="eastAsia"/>
          <w:kern w:val="0"/>
          <w:sz w:val="24"/>
        </w:rPr>
        <w:t>余篇；目前在研科研经费总额</w:t>
      </w:r>
      <w:r w:rsidRPr="00384005">
        <w:rPr>
          <w:rFonts w:ascii="宋体" w:hAnsi="宋体" w:cs="宋体"/>
          <w:kern w:val="0"/>
          <w:sz w:val="24"/>
        </w:rPr>
        <w:t xml:space="preserve">500 </w:t>
      </w:r>
      <w:r w:rsidRPr="00384005">
        <w:rPr>
          <w:rFonts w:ascii="宋体" w:hAnsi="宋体" w:cs="宋体" w:hint="eastAsia"/>
          <w:kern w:val="0"/>
          <w:sz w:val="24"/>
        </w:rPr>
        <w:t>余万元；获得计算机软件著作权</w:t>
      </w:r>
      <w:r w:rsidRPr="00384005">
        <w:rPr>
          <w:rFonts w:ascii="宋体" w:hAnsi="宋体" w:cs="宋体"/>
          <w:kern w:val="0"/>
          <w:sz w:val="24"/>
        </w:rPr>
        <w:t xml:space="preserve">1 </w:t>
      </w:r>
      <w:r w:rsidRPr="00384005">
        <w:rPr>
          <w:rFonts w:ascii="宋体" w:hAnsi="宋体" w:cs="宋体" w:hint="eastAsia"/>
          <w:kern w:val="0"/>
          <w:sz w:val="24"/>
        </w:rPr>
        <w:t>项。</w:t>
      </w:r>
    </w:p>
    <w:p w:rsidR="00EB61EE" w:rsidRDefault="00EB61EE" w:rsidP="00EB61EE">
      <w:pPr>
        <w:autoSpaceDE w:val="0"/>
        <w:autoSpaceDN w:val="0"/>
        <w:adjustRightInd w:val="0"/>
        <w:spacing w:line="360" w:lineRule="auto"/>
        <w:ind w:firstLineChars="200" w:firstLine="480"/>
        <w:jc w:val="left"/>
        <w:rPr>
          <w:rFonts w:ascii="宋体" w:cs="Times New Roman"/>
          <w:kern w:val="0"/>
          <w:sz w:val="24"/>
        </w:rPr>
      </w:pPr>
    </w:p>
    <w:p w:rsidR="00EB61EE" w:rsidRDefault="00EB61EE" w:rsidP="00EB61EE">
      <w:pPr>
        <w:autoSpaceDE w:val="0"/>
        <w:autoSpaceDN w:val="0"/>
        <w:adjustRightInd w:val="0"/>
        <w:spacing w:line="360" w:lineRule="auto"/>
        <w:ind w:firstLineChars="200" w:firstLine="480"/>
        <w:jc w:val="left"/>
        <w:rPr>
          <w:rFonts w:ascii="宋体" w:cs="Times New Roman"/>
          <w:kern w:val="0"/>
          <w:sz w:val="24"/>
        </w:rPr>
      </w:pPr>
    </w:p>
    <w:tbl>
      <w:tblPr>
        <w:tblW w:w="0" w:type="auto"/>
        <w:tblInd w:w="2" w:type="dxa"/>
        <w:tblLook w:val="01E0" w:firstRow="1" w:lastRow="1" w:firstColumn="1" w:lastColumn="1" w:noHBand="0" w:noVBand="0"/>
      </w:tblPr>
      <w:tblGrid>
        <w:gridCol w:w="4261"/>
        <w:gridCol w:w="4259"/>
      </w:tblGrid>
      <w:tr w:rsidR="00EB61EE" w:rsidTr="001519AE">
        <w:tc>
          <w:tcPr>
            <w:tcW w:w="4261" w:type="dxa"/>
          </w:tcPr>
          <w:p w:rsidR="00EB61EE" w:rsidRPr="001117E0" w:rsidRDefault="00EB61EE" w:rsidP="001519AE">
            <w:pPr>
              <w:autoSpaceDE w:val="0"/>
              <w:autoSpaceDN w:val="0"/>
              <w:adjustRightInd w:val="0"/>
              <w:spacing w:line="360" w:lineRule="auto"/>
              <w:jc w:val="left"/>
              <w:rPr>
                <w:rFonts w:ascii="宋体" w:cs="Times New Roman"/>
                <w:kern w:val="0"/>
                <w:sz w:val="24"/>
              </w:rPr>
            </w:pPr>
            <w:r>
              <w:rPr>
                <w:rFonts w:ascii="Calibri" w:cs="Calibri"/>
                <w:noProof/>
                <w:szCs w:val="21"/>
              </w:rPr>
              <w:drawing>
                <wp:anchor distT="0" distB="0" distL="114300" distR="114300" simplePos="0" relativeHeight="251660288" behindDoc="0" locked="1" layoutInCell="1" allowOverlap="1">
                  <wp:simplePos x="0" y="0"/>
                  <wp:positionH relativeFrom="column">
                    <wp:posOffset>2465070</wp:posOffset>
                  </wp:positionH>
                  <wp:positionV relativeFrom="paragraph">
                    <wp:posOffset>20320</wp:posOffset>
                  </wp:positionV>
                  <wp:extent cx="2667000" cy="2441575"/>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244157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noProof/>
              </w:rPr>
              <w:drawing>
                <wp:inline distT="0" distB="0" distL="0" distR="0">
                  <wp:extent cx="2276475" cy="31337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6475" cy="3133725"/>
                          </a:xfrm>
                          <a:prstGeom prst="rect">
                            <a:avLst/>
                          </a:prstGeom>
                          <a:noFill/>
                          <a:ln>
                            <a:noFill/>
                          </a:ln>
                        </pic:spPr>
                      </pic:pic>
                    </a:graphicData>
                  </a:graphic>
                </wp:inline>
              </w:drawing>
            </w:r>
          </w:p>
        </w:tc>
        <w:tc>
          <w:tcPr>
            <w:tcW w:w="4261" w:type="dxa"/>
          </w:tcPr>
          <w:p w:rsidR="00EB61EE" w:rsidRPr="001117E0" w:rsidRDefault="00EB61EE" w:rsidP="001519AE">
            <w:pPr>
              <w:autoSpaceDE w:val="0"/>
              <w:autoSpaceDN w:val="0"/>
              <w:adjustRightInd w:val="0"/>
              <w:spacing w:line="360" w:lineRule="auto"/>
              <w:jc w:val="left"/>
              <w:rPr>
                <w:rFonts w:ascii="宋体" w:cs="Times New Roman"/>
                <w:kern w:val="0"/>
                <w:sz w:val="24"/>
              </w:rPr>
            </w:pPr>
          </w:p>
        </w:tc>
      </w:tr>
    </w:tbl>
    <w:p w:rsidR="00EB61EE" w:rsidRDefault="00EB61EE" w:rsidP="00EB61EE">
      <w:pPr>
        <w:autoSpaceDE w:val="0"/>
        <w:autoSpaceDN w:val="0"/>
        <w:adjustRightInd w:val="0"/>
        <w:spacing w:line="360" w:lineRule="auto"/>
        <w:ind w:firstLineChars="200" w:firstLine="480"/>
        <w:jc w:val="left"/>
        <w:rPr>
          <w:rFonts w:ascii="宋体" w:cs="Times New Roman"/>
          <w:kern w:val="0"/>
          <w:sz w:val="24"/>
        </w:rPr>
      </w:pPr>
    </w:p>
    <w:p w:rsidR="00EB61EE" w:rsidRPr="00CE0F16" w:rsidRDefault="00EB61EE" w:rsidP="00EB61EE">
      <w:pPr>
        <w:autoSpaceDE w:val="0"/>
        <w:autoSpaceDN w:val="0"/>
        <w:adjustRightInd w:val="0"/>
        <w:spacing w:line="360" w:lineRule="auto"/>
        <w:jc w:val="left"/>
        <w:rPr>
          <w:rFonts w:ascii="宋体" w:cs="Times New Roman"/>
          <w:kern w:val="0"/>
          <w:sz w:val="24"/>
        </w:rPr>
      </w:pPr>
    </w:p>
    <w:p w:rsidR="00EB61EE" w:rsidRPr="00F9483E" w:rsidRDefault="00EB61EE" w:rsidP="00EB61EE">
      <w:pPr>
        <w:pStyle w:val="2"/>
        <w:numPr>
          <w:ilvl w:val="0"/>
          <w:numId w:val="1"/>
        </w:numPr>
        <w:tabs>
          <w:tab w:val="left" w:pos="735"/>
        </w:tabs>
        <w:rPr>
          <w:rFonts w:cs="Times New Roman"/>
        </w:rPr>
      </w:pPr>
      <w:bookmarkStart w:id="4" w:name="_Toc384739344"/>
      <w:r w:rsidRPr="00384005">
        <w:rPr>
          <w:rFonts w:cs="宋体" w:hint="eastAsia"/>
        </w:rPr>
        <w:lastRenderedPageBreak/>
        <w:t>非能动核能安全技术（自然循环及核热耦合）</w:t>
      </w:r>
      <w:bookmarkEnd w:id="4"/>
    </w:p>
    <w:p w:rsidR="00EB61EE" w:rsidRDefault="00EB61EE" w:rsidP="00EB61EE">
      <w:pPr>
        <w:autoSpaceDE w:val="0"/>
        <w:autoSpaceDN w:val="0"/>
        <w:adjustRightInd w:val="0"/>
        <w:spacing w:line="360" w:lineRule="auto"/>
        <w:ind w:firstLineChars="200" w:firstLine="480"/>
        <w:jc w:val="left"/>
        <w:rPr>
          <w:rFonts w:ascii="宋体" w:cs="Times New Roman"/>
          <w:kern w:val="0"/>
          <w:sz w:val="24"/>
        </w:rPr>
      </w:pPr>
      <w:r w:rsidRPr="00384005">
        <w:rPr>
          <w:rFonts w:ascii="宋体" w:hAnsi="宋体" w:cs="宋体" w:hint="eastAsia"/>
          <w:kern w:val="0"/>
          <w:sz w:val="24"/>
        </w:rPr>
        <w:t>自然循环可以有效的提高反应堆的固有安全性，自然循环流动中的过冷沸腾起始点（</w:t>
      </w:r>
      <w:r w:rsidRPr="00384005">
        <w:rPr>
          <w:rFonts w:ascii="宋体" w:hAnsi="宋体" w:cs="宋体"/>
          <w:kern w:val="0"/>
          <w:sz w:val="24"/>
        </w:rPr>
        <w:t>ONB</w:t>
      </w:r>
      <w:r w:rsidRPr="00384005">
        <w:rPr>
          <w:rFonts w:ascii="宋体" w:hAnsi="宋体" w:cs="宋体" w:hint="eastAsia"/>
          <w:kern w:val="0"/>
          <w:sz w:val="24"/>
        </w:rPr>
        <w:t>）和临界热流密度（</w:t>
      </w:r>
      <w:r w:rsidRPr="00384005">
        <w:rPr>
          <w:rFonts w:ascii="宋体" w:hAnsi="宋体" w:cs="宋体"/>
          <w:kern w:val="0"/>
          <w:sz w:val="24"/>
        </w:rPr>
        <w:t>CHF</w:t>
      </w:r>
      <w:r w:rsidRPr="00384005">
        <w:rPr>
          <w:rFonts w:ascii="宋体" w:hAnsi="宋体" w:cs="宋体" w:hint="eastAsia"/>
          <w:kern w:val="0"/>
          <w:sz w:val="24"/>
        </w:rPr>
        <w:t>）是随热量增大而先后出现的两个重要热工现象。</w:t>
      </w:r>
      <w:r w:rsidRPr="00384005">
        <w:rPr>
          <w:rFonts w:ascii="宋体" w:hAnsi="宋体" w:cs="宋体"/>
          <w:kern w:val="0"/>
          <w:sz w:val="24"/>
        </w:rPr>
        <w:t xml:space="preserve">ONB </w:t>
      </w:r>
      <w:r w:rsidRPr="00384005">
        <w:rPr>
          <w:rFonts w:ascii="宋体" w:hAnsi="宋体" w:cs="宋体" w:hint="eastAsia"/>
          <w:kern w:val="0"/>
          <w:sz w:val="24"/>
        </w:rPr>
        <w:t>点前后的换热存在很大差异，而</w:t>
      </w:r>
      <w:r w:rsidRPr="00384005">
        <w:rPr>
          <w:rFonts w:ascii="宋体" w:hAnsi="宋体" w:cs="宋体"/>
          <w:kern w:val="0"/>
          <w:sz w:val="24"/>
        </w:rPr>
        <w:t xml:space="preserve">CHF </w:t>
      </w:r>
      <w:r w:rsidRPr="00384005">
        <w:rPr>
          <w:rFonts w:ascii="宋体" w:hAnsi="宋体" w:cs="宋体" w:hint="eastAsia"/>
          <w:kern w:val="0"/>
          <w:sz w:val="24"/>
        </w:rPr>
        <w:t>限制了设备功率的提高。同时自然循环更易产生流动不稳定性。对这三个现象的研究将有助于自然循环学科的发展。</w:t>
      </w:r>
    </w:p>
    <w:p w:rsidR="00EB61EE" w:rsidRDefault="00EB61EE" w:rsidP="00EB61EE">
      <w:pPr>
        <w:autoSpaceDE w:val="0"/>
        <w:autoSpaceDN w:val="0"/>
        <w:adjustRightInd w:val="0"/>
        <w:spacing w:line="360" w:lineRule="auto"/>
        <w:ind w:firstLineChars="200" w:firstLine="480"/>
        <w:jc w:val="left"/>
        <w:rPr>
          <w:rFonts w:ascii="宋体" w:cs="Times New Roman"/>
          <w:kern w:val="0"/>
          <w:sz w:val="24"/>
        </w:rPr>
      </w:pPr>
      <w:r w:rsidRPr="00384005">
        <w:rPr>
          <w:rFonts w:ascii="宋体" w:hAnsi="宋体" w:cs="宋体" w:hint="eastAsia"/>
          <w:kern w:val="0"/>
          <w:sz w:val="24"/>
        </w:rPr>
        <w:t>搭建了自然循环热工水力试验台架，在</w:t>
      </w:r>
      <w:r w:rsidRPr="00384005">
        <w:rPr>
          <w:rFonts w:ascii="宋体" w:hAnsi="宋体" w:cs="宋体"/>
          <w:kern w:val="0"/>
          <w:sz w:val="24"/>
        </w:rPr>
        <w:t xml:space="preserve">0.1MPa-1.0MPa </w:t>
      </w:r>
      <w:r w:rsidRPr="00384005">
        <w:rPr>
          <w:rFonts w:ascii="宋体" w:hAnsi="宋体" w:cs="宋体" w:hint="eastAsia"/>
          <w:kern w:val="0"/>
          <w:sz w:val="24"/>
        </w:rPr>
        <w:t>压力范围内开展了自然循环实验研究。完成了欠热沸腾起始点发生机理分析、自然循环下的临界热流密度发生机理、流量漂移特性分析。</w:t>
      </w:r>
    </w:p>
    <w:p w:rsidR="00EB61EE" w:rsidRDefault="00EB61EE" w:rsidP="00EB61EE">
      <w:pPr>
        <w:autoSpaceDE w:val="0"/>
        <w:autoSpaceDN w:val="0"/>
        <w:adjustRightInd w:val="0"/>
        <w:spacing w:line="360" w:lineRule="auto"/>
        <w:ind w:firstLineChars="200" w:firstLine="480"/>
        <w:jc w:val="left"/>
        <w:rPr>
          <w:rFonts w:ascii="宋体" w:cs="Times New Roman"/>
          <w:kern w:val="0"/>
          <w:sz w:val="24"/>
        </w:rPr>
      </w:pPr>
      <w:r w:rsidRPr="00384005">
        <w:rPr>
          <w:rFonts w:ascii="宋体" w:hAnsi="宋体" w:cs="宋体" w:hint="eastAsia"/>
          <w:kern w:val="0"/>
          <w:sz w:val="24"/>
        </w:rPr>
        <w:t>针对超临界水冷反应堆的典型设计，开发了反应堆核热耦合分析程序，可完成窄缝效应研究和流量分配优化、</w:t>
      </w:r>
      <w:r w:rsidRPr="00384005">
        <w:rPr>
          <w:rFonts w:ascii="宋体" w:hAnsi="宋体" w:cs="宋体"/>
          <w:kern w:val="0"/>
          <w:sz w:val="24"/>
        </w:rPr>
        <w:t xml:space="preserve">MOX </w:t>
      </w:r>
      <w:r w:rsidRPr="00384005">
        <w:rPr>
          <w:rFonts w:ascii="宋体" w:hAnsi="宋体" w:cs="宋体" w:hint="eastAsia"/>
          <w:kern w:val="0"/>
          <w:sz w:val="24"/>
        </w:rPr>
        <w:t>燃料方案的热工特性、滑压启动特性、事故瞬态工况下的安全特性等分析。近</w:t>
      </w:r>
      <w:r w:rsidRPr="00384005">
        <w:rPr>
          <w:rFonts w:ascii="宋体" w:hAnsi="宋体" w:cs="宋体"/>
          <w:kern w:val="0"/>
          <w:sz w:val="24"/>
        </w:rPr>
        <w:t xml:space="preserve">5 </w:t>
      </w:r>
      <w:r w:rsidRPr="00384005">
        <w:rPr>
          <w:rFonts w:ascii="宋体" w:hAnsi="宋体" w:cs="宋体" w:hint="eastAsia"/>
          <w:kern w:val="0"/>
          <w:sz w:val="24"/>
        </w:rPr>
        <w:t>年来发表国内外学术期刊论文近</w:t>
      </w:r>
      <w:r w:rsidRPr="00384005">
        <w:rPr>
          <w:rFonts w:ascii="宋体" w:hAnsi="宋体" w:cs="宋体"/>
          <w:kern w:val="0"/>
          <w:sz w:val="24"/>
        </w:rPr>
        <w:t xml:space="preserve">50 </w:t>
      </w:r>
      <w:r w:rsidRPr="00384005">
        <w:rPr>
          <w:rFonts w:ascii="宋体" w:hAnsi="宋体" w:cs="宋体" w:hint="eastAsia"/>
          <w:kern w:val="0"/>
          <w:sz w:val="24"/>
        </w:rPr>
        <w:t>篇，</w:t>
      </w:r>
      <w:r w:rsidRPr="00384005">
        <w:rPr>
          <w:rFonts w:ascii="宋体" w:hAnsi="宋体" w:cs="宋体"/>
          <w:kern w:val="0"/>
          <w:sz w:val="24"/>
        </w:rPr>
        <w:t xml:space="preserve">20 </w:t>
      </w:r>
      <w:r w:rsidRPr="00384005">
        <w:rPr>
          <w:rFonts w:ascii="宋体" w:hAnsi="宋体" w:cs="宋体" w:hint="eastAsia"/>
          <w:kern w:val="0"/>
          <w:sz w:val="24"/>
        </w:rPr>
        <w:t>余篇被</w:t>
      </w:r>
      <w:r w:rsidRPr="00384005">
        <w:rPr>
          <w:rFonts w:ascii="宋体" w:hAnsi="宋体" w:cs="宋体"/>
          <w:kern w:val="0"/>
          <w:sz w:val="24"/>
        </w:rPr>
        <w:t xml:space="preserve">SCI </w:t>
      </w:r>
      <w:r w:rsidRPr="00384005">
        <w:rPr>
          <w:rFonts w:ascii="宋体" w:hAnsi="宋体" w:cs="宋体" w:hint="eastAsia"/>
          <w:kern w:val="0"/>
          <w:sz w:val="24"/>
        </w:rPr>
        <w:t>和</w:t>
      </w:r>
      <w:r w:rsidRPr="00384005">
        <w:rPr>
          <w:rFonts w:ascii="宋体" w:hAnsi="宋体" w:cs="宋体"/>
          <w:kern w:val="0"/>
          <w:sz w:val="24"/>
        </w:rPr>
        <w:t xml:space="preserve">EI </w:t>
      </w:r>
      <w:r w:rsidRPr="00384005">
        <w:rPr>
          <w:rFonts w:ascii="宋体" w:hAnsi="宋体" w:cs="宋体" w:hint="eastAsia"/>
          <w:kern w:val="0"/>
          <w:sz w:val="24"/>
        </w:rPr>
        <w:t>检索收录；获授权发明专利</w:t>
      </w:r>
      <w:r w:rsidRPr="00384005">
        <w:rPr>
          <w:rFonts w:ascii="宋体" w:hAnsi="宋体" w:cs="宋体"/>
          <w:kern w:val="0"/>
          <w:sz w:val="24"/>
        </w:rPr>
        <w:t>10</w:t>
      </w:r>
      <w:r w:rsidRPr="00384005">
        <w:rPr>
          <w:rFonts w:ascii="宋体" w:hAnsi="宋体" w:cs="宋体" w:hint="eastAsia"/>
          <w:kern w:val="0"/>
          <w:sz w:val="24"/>
        </w:rPr>
        <w:t>余项。</w:t>
      </w:r>
    </w:p>
    <w:p w:rsidR="00EB61EE" w:rsidRDefault="00EB61EE" w:rsidP="00EB61EE">
      <w:pPr>
        <w:autoSpaceDE w:val="0"/>
        <w:autoSpaceDN w:val="0"/>
        <w:adjustRightInd w:val="0"/>
        <w:spacing w:line="360" w:lineRule="auto"/>
        <w:jc w:val="left"/>
        <w:rPr>
          <w:rFonts w:ascii="宋体" w:cs="Times New Roman"/>
          <w:kern w:val="0"/>
          <w:sz w:val="24"/>
        </w:rPr>
      </w:pPr>
    </w:p>
    <w:p w:rsidR="00EB61EE" w:rsidRDefault="00EB61EE" w:rsidP="00EB61EE">
      <w:pPr>
        <w:autoSpaceDE w:val="0"/>
        <w:autoSpaceDN w:val="0"/>
        <w:adjustRightInd w:val="0"/>
        <w:spacing w:line="360" w:lineRule="auto"/>
        <w:jc w:val="center"/>
        <w:rPr>
          <w:rFonts w:ascii="宋体" w:cs="Times New Roman"/>
          <w:kern w:val="0"/>
          <w:sz w:val="24"/>
        </w:rPr>
      </w:pPr>
      <w:r>
        <w:rPr>
          <w:rFonts w:ascii="宋体" w:cs="Times New Roman"/>
          <w:noProof/>
          <w:kern w:val="0"/>
          <w:sz w:val="24"/>
        </w:rPr>
        <w:drawing>
          <wp:inline distT="0" distB="0" distL="0" distR="0">
            <wp:extent cx="2209800" cy="29908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2990850"/>
                    </a:xfrm>
                    <a:prstGeom prst="rect">
                      <a:avLst/>
                    </a:prstGeom>
                    <a:noFill/>
                    <a:ln>
                      <a:noFill/>
                    </a:ln>
                  </pic:spPr>
                </pic:pic>
              </a:graphicData>
            </a:graphic>
          </wp:inline>
        </w:drawing>
      </w:r>
    </w:p>
    <w:p w:rsidR="00EB61EE" w:rsidRDefault="00EB61EE" w:rsidP="00EB61EE">
      <w:pPr>
        <w:autoSpaceDE w:val="0"/>
        <w:autoSpaceDN w:val="0"/>
        <w:adjustRightInd w:val="0"/>
        <w:spacing w:line="360" w:lineRule="auto"/>
        <w:jc w:val="left"/>
        <w:rPr>
          <w:rFonts w:ascii="宋体" w:cs="Times New Roman"/>
          <w:kern w:val="0"/>
          <w:sz w:val="24"/>
        </w:rPr>
      </w:pPr>
    </w:p>
    <w:p w:rsidR="00EB61EE" w:rsidRDefault="00EB61EE" w:rsidP="00EB61EE">
      <w:pPr>
        <w:autoSpaceDE w:val="0"/>
        <w:autoSpaceDN w:val="0"/>
        <w:adjustRightInd w:val="0"/>
        <w:spacing w:line="360" w:lineRule="auto"/>
        <w:jc w:val="left"/>
        <w:rPr>
          <w:rFonts w:ascii="宋体" w:cs="Times New Roman"/>
          <w:kern w:val="0"/>
          <w:sz w:val="24"/>
        </w:rPr>
      </w:pPr>
    </w:p>
    <w:p w:rsidR="00EB61EE" w:rsidRDefault="00EB61EE" w:rsidP="00EB61EE">
      <w:pPr>
        <w:autoSpaceDE w:val="0"/>
        <w:autoSpaceDN w:val="0"/>
        <w:adjustRightInd w:val="0"/>
        <w:spacing w:line="360" w:lineRule="auto"/>
        <w:jc w:val="left"/>
        <w:rPr>
          <w:rFonts w:ascii="宋体" w:cs="Times New Roman"/>
          <w:kern w:val="0"/>
          <w:sz w:val="24"/>
        </w:rPr>
      </w:pPr>
    </w:p>
    <w:p w:rsidR="00EB61EE" w:rsidRPr="00F9483E" w:rsidRDefault="00EB61EE" w:rsidP="00EB61EE">
      <w:pPr>
        <w:pStyle w:val="2"/>
        <w:numPr>
          <w:ilvl w:val="0"/>
          <w:numId w:val="1"/>
        </w:numPr>
        <w:tabs>
          <w:tab w:val="left" w:pos="735"/>
        </w:tabs>
        <w:rPr>
          <w:rFonts w:cs="Times New Roman"/>
        </w:rPr>
      </w:pPr>
      <w:bookmarkStart w:id="5" w:name="_Toc384739345"/>
      <w:r w:rsidRPr="00CE0F16">
        <w:rPr>
          <w:rFonts w:cs="宋体" w:hint="eastAsia"/>
        </w:rPr>
        <w:lastRenderedPageBreak/>
        <w:t>微纳结构</w:t>
      </w:r>
      <w:proofErr w:type="spellStart"/>
      <w:r w:rsidRPr="00CE0F16">
        <w:t>CsI</w:t>
      </w:r>
      <w:proofErr w:type="spellEnd"/>
      <w:r w:rsidRPr="00CE0F16">
        <w:rPr>
          <w:rFonts w:cs="宋体" w:hint="eastAsia"/>
        </w:rPr>
        <w:t>（</w:t>
      </w:r>
      <w:r w:rsidRPr="00CE0F16">
        <w:t>Na</w:t>
      </w:r>
      <w:r w:rsidRPr="00CE0F16">
        <w:rPr>
          <w:rFonts w:cs="宋体" w:hint="eastAsia"/>
        </w:rPr>
        <w:t>）晶体加快发光探测机理研究</w:t>
      </w:r>
      <w:bookmarkEnd w:id="5"/>
    </w:p>
    <w:p w:rsidR="00EB61EE" w:rsidRDefault="00EB61EE" w:rsidP="00EB61EE">
      <w:pPr>
        <w:autoSpaceDE w:val="0"/>
        <w:autoSpaceDN w:val="0"/>
        <w:adjustRightInd w:val="0"/>
        <w:spacing w:line="360" w:lineRule="auto"/>
        <w:ind w:firstLineChars="200" w:firstLine="480"/>
        <w:jc w:val="left"/>
        <w:rPr>
          <w:rFonts w:ascii="宋体" w:cs="Times New Roman"/>
          <w:kern w:val="0"/>
          <w:sz w:val="24"/>
        </w:rPr>
      </w:pPr>
      <w:r w:rsidRPr="00CE0F16">
        <w:rPr>
          <w:rFonts w:ascii="宋体" w:hAnsi="宋体" w:cs="宋体" w:hint="eastAsia"/>
          <w:kern w:val="0"/>
          <w:sz w:val="24"/>
        </w:rPr>
        <w:t>核辐射探测材料的发光特性是影响辐射探测性能的关键因素，无机</w:t>
      </w:r>
      <w:proofErr w:type="spellStart"/>
      <w:r w:rsidRPr="00CE0F16">
        <w:rPr>
          <w:rFonts w:ascii="宋体" w:hAnsi="宋体" w:cs="宋体"/>
          <w:kern w:val="0"/>
          <w:sz w:val="24"/>
        </w:rPr>
        <w:t>CsI</w:t>
      </w:r>
      <w:proofErr w:type="spellEnd"/>
      <w:r w:rsidRPr="00CE0F16">
        <w:rPr>
          <w:rFonts w:ascii="宋体" w:hAnsi="宋体" w:cs="宋体" w:hint="eastAsia"/>
          <w:kern w:val="0"/>
          <w:sz w:val="24"/>
        </w:rPr>
        <w:t>（</w:t>
      </w:r>
      <w:r w:rsidRPr="00CE0F16">
        <w:rPr>
          <w:rFonts w:ascii="宋体" w:hAnsi="宋体" w:cs="宋体"/>
          <w:kern w:val="0"/>
          <w:sz w:val="24"/>
        </w:rPr>
        <w:t>Na</w:t>
      </w:r>
      <w:r w:rsidRPr="00CE0F16">
        <w:rPr>
          <w:rFonts w:ascii="宋体" w:hAnsi="宋体" w:cs="宋体" w:hint="eastAsia"/>
          <w:kern w:val="0"/>
          <w:sz w:val="24"/>
        </w:rPr>
        <w:t>）晶体由于其发光效率高、密度大等优点，被广泛用于核辐射成像、核医学、暗物质探测等领域。但其慢发光衰减时间特性限制了在快脉冲辐射场探测方面的应用。</w:t>
      </w:r>
    </w:p>
    <w:p w:rsidR="00EB61EE" w:rsidRDefault="00EB61EE" w:rsidP="00EB61EE">
      <w:pPr>
        <w:autoSpaceDE w:val="0"/>
        <w:autoSpaceDN w:val="0"/>
        <w:adjustRightInd w:val="0"/>
        <w:spacing w:line="360" w:lineRule="auto"/>
        <w:ind w:firstLineChars="200" w:firstLine="480"/>
        <w:jc w:val="left"/>
        <w:rPr>
          <w:rFonts w:ascii="宋体" w:cs="Times New Roman"/>
          <w:kern w:val="0"/>
          <w:sz w:val="24"/>
        </w:rPr>
      </w:pPr>
      <w:r w:rsidRPr="00CE0F16">
        <w:rPr>
          <w:rFonts w:ascii="宋体" w:hAnsi="宋体" w:cs="宋体" w:hint="eastAsia"/>
          <w:kern w:val="0"/>
          <w:sz w:val="24"/>
        </w:rPr>
        <w:t>本研究建立并完善了单光子计数系统、快脉冲</w:t>
      </w:r>
      <w:r w:rsidRPr="00CE0F16">
        <w:rPr>
          <w:rFonts w:ascii="宋体" w:hAnsi="宋体" w:cs="宋体"/>
          <w:kern w:val="0"/>
          <w:sz w:val="24"/>
        </w:rPr>
        <w:t xml:space="preserve">X </w:t>
      </w:r>
      <w:r w:rsidRPr="00CE0F16">
        <w:rPr>
          <w:rFonts w:ascii="宋体" w:hAnsi="宋体" w:cs="宋体" w:hint="eastAsia"/>
          <w:kern w:val="0"/>
          <w:sz w:val="24"/>
        </w:rPr>
        <w:t>射线探测系统等辐射探测实验平台；首次发现微纳结构</w:t>
      </w:r>
      <w:proofErr w:type="spellStart"/>
      <w:r w:rsidRPr="00CE0F16">
        <w:rPr>
          <w:rFonts w:ascii="宋体" w:hAnsi="宋体" w:cs="宋体"/>
          <w:kern w:val="0"/>
          <w:sz w:val="24"/>
        </w:rPr>
        <w:t>CsI</w:t>
      </w:r>
      <w:proofErr w:type="spellEnd"/>
      <w:r w:rsidRPr="00CE0F16">
        <w:rPr>
          <w:rFonts w:ascii="宋体" w:hAnsi="宋体" w:cs="宋体" w:hint="eastAsia"/>
          <w:kern w:val="0"/>
          <w:sz w:val="24"/>
        </w:rPr>
        <w:t>（</w:t>
      </w:r>
      <w:r w:rsidRPr="00CE0F16">
        <w:rPr>
          <w:rFonts w:ascii="宋体" w:hAnsi="宋体" w:cs="宋体"/>
          <w:kern w:val="0"/>
          <w:sz w:val="24"/>
        </w:rPr>
        <w:t>Na</w:t>
      </w:r>
      <w:r w:rsidRPr="00CE0F16">
        <w:rPr>
          <w:rFonts w:ascii="宋体" w:hAnsi="宋体" w:cs="宋体" w:hint="eastAsia"/>
          <w:kern w:val="0"/>
          <w:sz w:val="24"/>
        </w:rPr>
        <w:t>）晶体的加快发光特性，提出具有自主知识产权的微纳结构</w:t>
      </w:r>
      <w:proofErr w:type="spellStart"/>
      <w:r w:rsidRPr="00CE0F16">
        <w:rPr>
          <w:rFonts w:ascii="宋体" w:hAnsi="宋体" w:cs="宋体"/>
          <w:kern w:val="0"/>
          <w:sz w:val="24"/>
        </w:rPr>
        <w:t>CsI</w:t>
      </w:r>
      <w:proofErr w:type="spellEnd"/>
      <w:r w:rsidRPr="00CE0F16">
        <w:rPr>
          <w:rFonts w:ascii="宋体" w:hAnsi="宋体" w:cs="宋体" w:hint="eastAsia"/>
          <w:kern w:val="0"/>
          <w:sz w:val="24"/>
        </w:rPr>
        <w:t>（</w:t>
      </w:r>
      <w:r w:rsidRPr="00CE0F16">
        <w:rPr>
          <w:rFonts w:ascii="宋体" w:hAnsi="宋体" w:cs="宋体"/>
          <w:kern w:val="0"/>
          <w:sz w:val="24"/>
        </w:rPr>
        <w:t>Na</w:t>
      </w:r>
      <w:r w:rsidRPr="00CE0F16">
        <w:rPr>
          <w:rFonts w:ascii="宋体" w:hAnsi="宋体" w:cs="宋体" w:hint="eastAsia"/>
          <w:kern w:val="0"/>
          <w:sz w:val="24"/>
        </w:rPr>
        <w:t>）晶体制备方法，解决了</w:t>
      </w:r>
      <w:proofErr w:type="spellStart"/>
      <w:r w:rsidRPr="00CE0F16">
        <w:rPr>
          <w:rFonts w:ascii="宋体" w:hAnsi="宋体" w:cs="宋体"/>
          <w:kern w:val="0"/>
          <w:sz w:val="24"/>
        </w:rPr>
        <w:t>CsI</w:t>
      </w:r>
      <w:proofErr w:type="spellEnd"/>
      <w:r w:rsidRPr="00CE0F16">
        <w:rPr>
          <w:rFonts w:ascii="宋体" w:hAnsi="宋体" w:cs="宋体" w:hint="eastAsia"/>
          <w:kern w:val="0"/>
          <w:sz w:val="24"/>
        </w:rPr>
        <w:t>（</w:t>
      </w:r>
      <w:r w:rsidRPr="00CE0F16">
        <w:rPr>
          <w:rFonts w:ascii="宋体" w:hAnsi="宋体" w:cs="宋体"/>
          <w:kern w:val="0"/>
          <w:sz w:val="24"/>
        </w:rPr>
        <w:t>Na</w:t>
      </w:r>
      <w:r w:rsidRPr="00CE0F16">
        <w:rPr>
          <w:rFonts w:ascii="宋体" w:hAnsi="宋体" w:cs="宋体" w:hint="eastAsia"/>
          <w:kern w:val="0"/>
          <w:sz w:val="24"/>
        </w:rPr>
        <w:t>）晶体受制于慢发光衰减时间的核心难题。为快脉冲辐射探测领域提供了新的优选探测材料，从源头上保证了具有自主产权快脉冲辐射场薄膜探测器的研制及应用。</w:t>
      </w:r>
    </w:p>
    <w:p w:rsidR="00EB61EE" w:rsidRDefault="00EB61EE" w:rsidP="00EB61EE">
      <w:pPr>
        <w:autoSpaceDE w:val="0"/>
        <w:autoSpaceDN w:val="0"/>
        <w:adjustRightInd w:val="0"/>
        <w:spacing w:line="360" w:lineRule="auto"/>
        <w:ind w:firstLineChars="200" w:firstLine="480"/>
        <w:jc w:val="left"/>
        <w:rPr>
          <w:rFonts w:ascii="宋体" w:cs="Times New Roman"/>
          <w:kern w:val="0"/>
          <w:sz w:val="24"/>
        </w:rPr>
      </w:pPr>
      <w:r w:rsidRPr="00CE0F16">
        <w:rPr>
          <w:rFonts w:ascii="宋体" w:hAnsi="宋体" w:cs="宋体" w:hint="eastAsia"/>
          <w:kern w:val="0"/>
          <w:sz w:val="24"/>
        </w:rPr>
        <w:t>近年来，团队成员发表</w:t>
      </w:r>
      <w:r w:rsidRPr="00CE0F16">
        <w:rPr>
          <w:rFonts w:ascii="宋体" w:hAnsi="宋体" w:cs="宋体"/>
          <w:kern w:val="0"/>
          <w:sz w:val="24"/>
        </w:rPr>
        <w:t>SCI</w:t>
      </w:r>
      <w:r w:rsidRPr="00CE0F16">
        <w:rPr>
          <w:rFonts w:ascii="宋体" w:hAnsi="宋体" w:cs="宋体" w:hint="eastAsia"/>
          <w:kern w:val="0"/>
          <w:sz w:val="24"/>
        </w:rPr>
        <w:t>、</w:t>
      </w:r>
      <w:r w:rsidRPr="00CE0F16">
        <w:rPr>
          <w:rFonts w:ascii="宋体" w:hAnsi="宋体" w:cs="宋体"/>
          <w:kern w:val="0"/>
          <w:sz w:val="24"/>
        </w:rPr>
        <w:t xml:space="preserve">EI </w:t>
      </w:r>
      <w:r w:rsidRPr="00CE0F16">
        <w:rPr>
          <w:rFonts w:ascii="宋体" w:hAnsi="宋体" w:cs="宋体" w:hint="eastAsia"/>
          <w:kern w:val="0"/>
          <w:sz w:val="24"/>
        </w:rPr>
        <w:t>论文近</w:t>
      </w:r>
      <w:r w:rsidRPr="00CE0F16">
        <w:rPr>
          <w:rFonts w:ascii="宋体" w:hAnsi="宋体" w:cs="宋体"/>
          <w:kern w:val="0"/>
          <w:sz w:val="24"/>
        </w:rPr>
        <w:t xml:space="preserve">40 </w:t>
      </w:r>
      <w:r w:rsidRPr="00CE0F16">
        <w:rPr>
          <w:rFonts w:ascii="宋体" w:hAnsi="宋体" w:cs="宋体" w:hint="eastAsia"/>
          <w:kern w:val="0"/>
          <w:sz w:val="24"/>
        </w:rPr>
        <w:t>篇，获国家科技进步奖、技术发明奖</w:t>
      </w:r>
      <w:r w:rsidRPr="00CE0F16">
        <w:rPr>
          <w:rFonts w:ascii="宋体" w:hAnsi="宋体" w:cs="宋体"/>
          <w:kern w:val="0"/>
          <w:sz w:val="24"/>
        </w:rPr>
        <w:t xml:space="preserve">5 </w:t>
      </w:r>
      <w:r w:rsidRPr="00CE0F16">
        <w:rPr>
          <w:rFonts w:ascii="宋体" w:hAnsi="宋体" w:cs="宋体" w:hint="eastAsia"/>
          <w:kern w:val="0"/>
          <w:sz w:val="24"/>
        </w:rPr>
        <w:t>项，部委科技进步一、二等奖</w:t>
      </w:r>
      <w:r w:rsidRPr="00CE0F16">
        <w:rPr>
          <w:rFonts w:ascii="宋体" w:hAnsi="宋体" w:cs="宋体"/>
          <w:kern w:val="0"/>
          <w:sz w:val="24"/>
        </w:rPr>
        <w:t xml:space="preserve">10 </w:t>
      </w:r>
      <w:r w:rsidRPr="00CE0F16">
        <w:rPr>
          <w:rFonts w:ascii="宋体" w:hAnsi="宋体" w:cs="宋体" w:hint="eastAsia"/>
          <w:kern w:val="0"/>
          <w:sz w:val="24"/>
        </w:rPr>
        <w:t>项，授权发明专利</w:t>
      </w:r>
      <w:r w:rsidRPr="00CE0F16">
        <w:rPr>
          <w:rFonts w:ascii="宋体" w:hAnsi="宋体" w:cs="宋体"/>
          <w:kern w:val="0"/>
          <w:sz w:val="24"/>
        </w:rPr>
        <w:t xml:space="preserve">18 </w:t>
      </w:r>
      <w:r w:rsidRPr="00CE0F16">
        <w:rPr>
          <w:rFonts w:ascii="宋体" w:hAnsi="宋体" w:cs="宋体" w:hint="eastAsia"/>
          <w:kern w:val="0"/>
          <w:sz w:val="24"/>
        </w:rPr>
        <w:t>项。</w:t>
      </w:r>
    </w:p>
    <w:p w:rsidR="00EB61EE" w:rsidRDefault="00EB61EE" w:rsidP="00EB61EE">
      <w:pPr>
        <w:autoSpaceDE w:val="0"/>
        <w:autoSpaceDN w:val="0"/>
        <w:adjustRightInd w:val="0"/>
        <w:spacing w:line="360" w:lineRule="auto"/>
        <w:ind w:firstLineChars="200" w:firstLine="480"/>
        <w:jc w:val="left"/>
        <w:rPr>
          <w:rFonts w:ascii="宋体" w:cs="Times New Roman"/>
          <w:kern w:val="0"/>
          <w:sz w:val="24"/>
        </w:rPr>
      </w:pPr>
    </w:p>
    <w:tbl>
      <w:tblPr>
        <w:tblW w:w="0" w:type="auto"/>
        <w:tblInd w:w="2" w:type="dxa"/>
        <w:tblLook w:val="01E0" w:firstRow="1" w:lastRow="1" w:firstColumn="1" w:lastColumn="1" w:noHBand="0" w:noVBand="0"/>
      </w:tblPr>
      <w:tblGrid>
        <w:gridCol w:w="8520"/>
      </w:tblGrid>
      <w:tr w:rsidR="00EB61EE" w:rsidTr="001519AE">
        <w:tc>
          <w:tcPr>
            <w:tcW w:w="8522" w:type="dxa"/>
          </w:tcPr>
          <w:p w:rsidR="00EB61EE" w:rsidRPr="001117E0" w:rsidRDefault="00EB61EE" w:rsidP="001519AE">
            <w:pPr>
              <w:autoSpaceDE w:val="0"/>
              <w:autoSpaceDN w:val="0"/>
              <w:adjustRightInd w:val="0"/>
              <w:spacing w:line="360" w:lineRule="auto"/>
              <w:jc w:val="left"/>
              <w:rPr>
                <w:rFonts w:ascii="宋体" w:cs="Times New Roman"/>
                <w:kern w:val="0"/>
                <w:sz w:val="24"/>
              </w:rPr>
            </w:pPr>
            <w:r>
              <w:rPr>
                <w:rFonts w:ascii="宋体" w:cs="Times New Roman"/>
                <w:noProof/>
                <w:sz w:val="24"/>
              </w:rPr>
              <w:drawing>
                <wp:inline distT="0" distB="0" distL="0" distR="0">
                  <wp:extent cx="4210050" cy="14382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0050" cy="1438275"/>
                          </a:xfrm>
                          <a:prstGeom prst="rect">
                            <a:avLst/>
                          </a:prstGeom>
                          <a:noFill/>
                          <a:ln>
                            <a:noFill/>
                          </a:ln>
                        </pic:spPr>
                      </pic:pic>
                    </a:graphicData>
                  </a:graphic>
                </wp:inline>
              </w:drawing>
            </w:r>
          </w:p>
        </w:tc>
      </w:tr>
      <w:tr w:rsidR="00EB61EE" w:rsidTr="001519AE">
        <w:tc>
          <w:tcPr>
            <w:tcW w:w="8522" w:type="dxa"/>
          </w:tcPr>
          <w:p w:rsidR="00EB61EE" w:rsidRPr="001117E0" w:rsidRDefault="00EB61EE" w:rsidP="001519AE">
            <w:pPr>
              <w:autoSpaceDE w:val="0"/>
              <w:autoSpaceDN w:val="0"/>
              <w:adjustRightInd w:val="0"/>
              <w:spacing w:line="360" w:lineRule="auto"/>
              <w:jc w:val="left"/>
              <w:rPr>
                <w:rFonts w:ascii="宋体" w:cs="Times New Roman"/>
                <w:kern w:val="0"/>
                <w:sz w:val="24"/>
              </w:rPr>
            </w:pPr>
            <w:r>
              <w:rPr>
                <w:rFonts w:ascii="宋体" w:cs="Times New Roman"/>
                <w:noProof/>
                <w:sz w:val="24"/>
              </w:rPr>
              <w:drawing>
                <wp:inline distT="0" distB="0" distL="0" distR="0">
                  <wp:extent cx="5219700" cy="990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9700" cy="990600"/>
                          </a:xfrm>
                          <a:prstGeom prst="rect">
                            <a:avLst/>
                          </a:prstGeom>
                          <a:noFill/>
                          <a:ln>
                            <a:noFill/>
                          </a:ln>
                        </pic:spPr>
                      </pic:pic>
                    </a:graphicData>
                  </a:graphic>
                </wp:inline>
              </w:drawing>
            </w:r>
          </w:p>
        </w:tc>
      </w:tr>
      <w:tr w:rsidR="00EB61EE" w:rsidTr="001519AE">
        <w:tc>
          <w:tcPr>
            <w:tcW w:w="8522" w:type="dxa"/>
          </w:tcPr>
          <w:p w:rsidR="00EB61EE" w:rsidRPr="001117E0" w:rsidRDefault="00EB61EE" w:rsidP="001519AE">
            <w:pPr>
              <w:autoSpaceDE w:val="0"/>
              <w:autoSpaceDN w:val="0"/>
              <w:adjustRightInd w:val="0"/>
              <w:spacing w:line="360" w:lineRule="auto"/>
              <w:jc w:val="left"/>
              <w:rPr>
                <w:rFonts w:ascii="宋体" w:cs="Times New Roman"/>
                <w:kern w:val="0"/>
                <w:sz w:val="24"/>
              </w:rPr>
            </w:pPr>
            <w:r>
              <w:rPr>
                <w:rFonts w:ascii="宋体" w:cs="Times New Roman"/>
                <w:noProof/>
                <w:sz w:val="24"/>
              </w:rPr>
              <w:drawing>
                <wp:inline distT="0" distB="0" distL="0" distR="0">
                  <wp:extent cx="5219700" cy="11144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700" cy="1114425"/>
                          </a:xfrm>
                          <a:prstGeom prst="rect">
                            <a:avLst/>
                          </a:prstGeom>
                          <a:noFill/>
                          <a:ln>
                            <a:noFill/>
                          </a:ln>
                        </pic:spPr>
                      </pic:pic>
                    </a:graphicData>
                  </a:graphic>
                </wp:inline>
              </w:drawing>
            </w:r>
          </w:p>
        </w:tc>
      </w:tr>
    </w:tbl>
    <w:p w:rsidR="00EB61EE" w:rsidRDefault="00EB61EE" w:rsidP="00EB61EE">
      <w:pPr>
        <w:autoSpaceDE w:val="0"/>
        <w:autoSpaceDN w:val="0"/>
        <w:adjustRightInd w:val="0"/>
        <w:spacing w:line="360" w:lineRule="auto"/>
        <w:ind w:firstLineChars="200" w:firstLine="480"/>
        <w:jc w:val="left"/>
        <w:rPr>
          <w:rFonts w:ascii="宋体" w:cs="Times New Roman"/>
          <w:kern w:val="0"/>
          <w:sz w:val="24"/>
        </w:rPr>
      </w:pPr>
    </w:p>
    <w:p w:rsidR="00EB61EE" w:rsidRDefault="00EB61EE" w:rsidP="00EB61EE">
      <w:pPr>
        <w:autoSpaceDE w:val="0"/>
        <w:autoSpaceDN w:val="0"/>
        <w:adjustRightInd w:val="0"/>
        <w:spacing w:line="360" w:lineRule="auto"/>
        <w:jc w:val="left"/>
        <w:rPr>
          <w:rFonts w:ascii="宋体" w:cs="Times New Roman"/>
          <w:kern w:val="0"/>
          <w:sz w:val="24"/>
        </w:rPr>
      </w:pPr>
    </w:p>
    <w:p w:rsidR="00EB61EE" w:rsidRPr="00F9483E" w:rsidRDefault="00EB61EE" w:rsidP="00EB61EE">
      <w:pPr>
        <w:pStyle w:val="2"/>
        <w:numPr>
          <w:ilvl w:val="0"/>
          <w:numId w:val="1"/>
        </w:numPr>
        <w:tabs>
          <w:tab w:val="left" w:pos="735"/>
        </w:tabs>
        <w:rPr>
          <w:rFonts w:cs="Times New Roman"/>
        </w:rPr>
      </w:pPr>
      <w:bookmarkStart w:id="6" w:name="_Toc384739346"/>
      <w:r w:rsidRPr="00CE0F16">
        <w:lastRenderedPageBreak/>
        <w:t xml:space="preserve">AP1000 </w:t>
      </w:r>
      <w:r w:rsidRPr="00CE0F16">
        <w:rPr>
          <w:rFonts w:cs="宋体" w:hint="eastAsia"/>
        </w:rPr>
        <w:t>核岛主系统模拟运行仪器</w:t>
      </w:r>
      <w:bookmarkEnd w:id="6"/>
    </w:p>
    <w:p w:rsidR="00EB61EE" w:rsidRDefault="00EB61EE" w:rsidP="00EB61EE">
      <w:pPr>
        <w:autoSpaceDE w:val="0"/>
        <w:autoSpaceDN w:val="0"/>
        <w:adjustRightInd w:val="0"/>
        <w:spacing w:line="360" w:lineRule="auto"/>
        <w:ind w:firstLineChars="200" w:firstLine="480"/>
        <w:jc w:val="left"/>
        <w:rPr>
          <w:rFonts w:ascii="宋体" w:cs="Times New Roman"/>
          <w:kern w:val="0"/>
          <w:sz w:val="24"/>
        </w:rPr>
      </w:pPr>
      <w:r w:rsidRPr="00CE0F16">
        <w:rPr>
          <w:rFonts w:ascii="宋体" w:hAnsi="宋体" w:cs="宋体" w:hint="eastAsia"/>
          <w:kern w:val="0"/>
          <w:sz w:val="24"/>
        </w:rPr>
        <w:t>核电站核岛安全壳内部具有严格的封闭性，使得核电厂员工以及核电专业学生无法对其内部正常工况下一、二回路的循环过程以及</w:t>
      </w:r>
      <w:r w:rsidRPr="00CE0F16">
        <w:rPr>
          <w:rFonts w:ascii="宋体" w:hAnsi="宋体" w:cs="宋体"/>
          <w:kern w:val="0"/>
          <w:sz w:val="24"/>
        </w:rPr>
        <w:t xml:space="preserve">LOCA </w:t>
      </w:r>
      <w:r w:rsidRPr="00CE0F16">
        <w:rPr>
          <w:rFonts w:ascii="宋体" w:hAnsi="宋体" w:cs="宋体" w:hint="eastAsia"/>
          <w:kern w:val="0"/>
          <w:sz w:val="24"/>
        </w:rPr>
        <w:t>失水事故工况下安全注射系统和非能动余热排出热交换器的运行过程有直观的了解。而目前，广泛用于教学的演示模型多为塑料或泡沫制成的静态模型，无法实现各运行过程的动态模拟。</w:t>
      </w:r>
    </w:p>
    <w:p w:rsidR="00EB61EE" w:rsidRDefault="00EB61EE" w:rsidP="00EB61EE">
      <w:pPr>
        <w:autoSpaceDE w:val="0"/>
        <w:autoSpaceDN w:val="0"/>
        <w:adjustRightInd w:val="0"/>
        <w:spacing w:line="360" w:lineRule="auto"/>
        <w:ind w:firstLineChars="200" w:firstLine="480"/>
        <w:jc w:val="left"/>
        <w:rPr>
          <w:rFonts w:ascii="宋体" w:cs="Times New Roman"/>
          <w:kern w:val="0"/>
          <w:sz w:val="24"/>
        </w:rPr>
      </w:pPr>
      <w:r w:rsidRPr="00CE0F16">
        <w:rPr>
          <w:rFonts w:ascii="宋体" w:hAnsi="宋体" w:cs="宋体" w:hint="eastAsia"/>
          <w:kern w:val="0"/>
          <w:sz w:val="24"/>
        </w:rPr>
        <w:t>本项目针对现有先进压水堆静态模型无法动态模拟实际运行过程的缺点，提供了一种</w:t>
      </w:r>
      <w:r w:rsidRPr="00CE0F16">
        <w:rPr>
          <w:rFonts w:ascii="宋体" w:hAnsi="宋体" w:cs="宋体"/>
          <w:kern w:val="0"/>
          <w:sz w:val="24"/>
        </w:rPr>
        <w:t xml:space="preserve">AP1000 </w:t>
      </w:r>
      <w:r w:rsidRPr="00CE0F16">
        <w:rPr>
          <w:rFonts w:ascii="宋体" w:hAnsi="宋体" w:cs="宋体" w:hint="eastAsia"/>
          <w:kern w:val="0"/>
          <w:sz w:val="24"/>
        </w:rPr>
        <w:t>核岛主系统模拟运行仪器。根据先进压水堆核岛内部构件组成及非能动安全系统工作原理，由蒸汽发生器、压力容器、稳压器、安注水箱、堆芯补水箱、内置换料水箱、非能动余热排出热交换器、主泵、管路、测量系统以及加热元件构成，采用强迫循环。以水作为一、二回路以及非能动安全注射系统中的工质。仪器所有部件均由钢架支撑。本项目申请发明专利</w:t>
      </w:r>
      <w:r w:rsidRPr="00CE0F16">
        <w:rPr>
          <w:rFonts w:ascii="宋体" w:hAnsi="宋体" w:cs="宋体"/>
          <w:kern w:val="0"/>
          <w:sz w:val="24"/>
        </w:rPr>
        <w:t xml:space="preserve">2 </w:t>
      </w:r>
      <w:r w:rsidRPr="00CE0F16">
        <w:rPr>
          <w:rFonts w:ascii="宋体" w:hAnsi="宋体" w:cs="宋体" w:hint="eastAsia"/>
          <w:kern w:val="0"/>
          <w:sz w:val="24"/>
        </w:rPr>
        <w:t>项。</w:t>
      </w:r>
    </w:p>
    <w:p w:rsidR="00EB61EE" w:rsidRDefault="00EB61EE" w:rsidP="00EB61EE">
      <w:pPr>
        <w:autoSpaceDE w:val="0"/>
        <w:autoSpaceDN w:val="0"/>
        <w:adjustRightInd w:val="0"/>
        <w:spacing w:line="360" w:lineRule="auto"/>
        <w:jc w:val="left"/>
        <w:rPr>
          <w:rFonts w:ascii="宋体" w:cs="Times New Roman"/>
          <w:kern w:val="0"/>
          <w:sz w:val="24"/>
        </w:rPr>
      </w:pPr>
    </w:p>
    <w:p w:rsidR="00EB61EE" w:rsidRDefault="00EB61EE" w:rsidP="00EB61EE">
      <w:pPr>
        <w:autoSpaceDE w:val="0"/>
        <w:autoSpaceDN w:val="0"/>
        <w:adjustRightInd w:val="0"/>
        <w:spacing w:line="360" w:lineRule="auto"/>
        <w:jc w:val="center"/>
        <w:rPr>
          <w:rFonts w:ascii="宋体" w:cs="Times New Roman"/>
          <w:kern w:val="0"/>
          <w:sz w:val="24"/>
        </w:rPr>
      </w:pPr>
      <w:r>
        <w:rPr>
          <w:rFonts w:ascii="宋体" w:cs="Times New Roman"/>
          <w:noProof/>
          <w:kern w:val="0"/>
          <w:sz w:val="24"/>
        </w:rPr>
        <w:drawing>
          <wp:inline distT="0" distB="0" distL="0" distR="0">
            <wp:extent cx="3362325" cy="281940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2325" cy="2819400"/>
                    </a:xfrm>
                    <a:prstGeom prst="rect">
                      <a:avLst/>
                    </a:prstGeom>
                    <a:noFill/>
                    <a:ln>
                      <a:noFill/>
                    </a:ln>
                  </pic:spPr>
                </pic:pic>
              </a:graphicData>
            </a:graphic>
          </wp:inline>
        </w:drawing>
      </w:r>
    </w:p>
    <w:p w:rsidR="00EB61EE" w:rsidRDefault="00EB61EE" w:rsidP="00EB61EE">
      <w:pPr>
        <w:autoSpaceDE w:val="0"/>
        <w:autoSpaceDN w:val="0"/>
        <w:adjustRightInd w:val="0"/>
        <w:spacing w:line="360" w:lineRule="auto"/>
        <w:jc w:val="left"/>
        <w:rPr>
          <w:rFonts w:ascii="宋体" w:cs="Times New Roman"/>
          <w:kern w:val="0"/>
          <w:sz w:val="24"/>
        </w:rPr>
      </w:pPr>
    </w:p>
    <w:p w:rsidR="00EB61EE" w:rsidRDefault="00EB61EE" w:rsidP="00EB61EE">
      <w:pPr>
        <w:autoSpaceDE w:val="0"/>
        <w:autoSpaceDN w:val="0"/>
        <w:adjustRightInd w:val="0"/>
        <w:spacing w:line="360" w:lineRule="auto"/>
        <w:jc w:val="left"/>
        <w:rPr>
          <w:rFonts w:ascii="宋体" w:cs="Times New Roman"/>
          <w:kern w:val="0"/>
          <w:sz w:val="24"/>
        </w:rPr>
      </w:pPr>
    </w:p>
    <w:p w:rsidR="00EB61EE" w:rsidRDefault="00EB61EE" w:rsidP="00EB61EE">
      <w:pPr>
        <w:autoSpaceDE w:val="0"/>
        <w:autoSpaceDN w:val="0"/>
        <w:adjustRightInd w:val="0"/>
        <w:spacing w:line="360" w:lineRule="auto"/>
        <w:jc w:val="left"/>
        <w:rPr>
          <w:rFonts w:ascii="宋体" w:cs="Times New Roman"/>
          <w:kern w:val="0"/>
          <w:sz w:val="24"/>
        </w:rPr>
      </w:pPr>
    </w:p>
    <w:p w:rsidR="00EB61EE" w:rsidRDefault="00EB61EE" w:rsidP="00EB61EE">
      <w:pPr>
        <w:autoSpaceDE w:val="0"/>
        <w:autoSpaceDN w:val="0"/>
        <w:adjustRightInd w:val="0"/>
        <w:spacing w:line="360" w:lineRule="auto"/>
        <w:jc w:val="left"/>
        <w:rPr>
          <w:rFonts w:ascii="宋体" w:cs="Times New Roman"/>
          <w:kern w:val="0"/>
          <w:sz w:val="24"/>
        </w:rPr>
      </w:pPr>
    </w:p>
    <w:p w:rsidR="00EB61EE" w:rsidRDefault="00EB61EE" w:rsidP="00EB61EE">
      <w:pPr>
        <w:autoSpaceDE w:val="0"/>
        <w:autoSpaceDN w:val="0"/>
        <w:adjustRightInd w:val="0"/>
        <w:spacing w:line="360" w:lineRule="auto"/>
        <w:jc w:val="left"/>
        <w:rPr>
          <w:rFonts w:ascii="宋体" w:cs="Times New Roman"/>
          <w:kern w:val="0"/>
          <w:sz w:val="24"/>
        </w:rPr>
      </w:pPr>
    </w:p>
    <w:p w:rsidR="009A6D36" w:rsidRDefault="009A6D36">
      <w:bookmarkStart w:id="7" w:name="_GoBack"/>
      <w:bookmarkEnd w:id="7"/>
    </w:p>
    <w:sectPr w:rsidR="009A6D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7F1" w:rsidRDefault="002207F1" w:rsidP="00EB61EE">
      <w:r>
        <w:separator/>
      </w:r>
    </w:p>
  </w:endnote>
  <w:endnote w:type="continuationSeparator" w:id="0">
    <w:p w:rsidR="002207F1" w:rsidRDefault="002207F1" w:rsidP="00EB6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7F1" w:rsidRDefault="002207F1" w:rsidP="00EB61EE">
      <w:r>
        <w:separator/>
      </w:r>
    </w:p>
  </w:footnote>
  <w:footnote w:type="continuationSeparator" w:id="0">
    <w:p w:rsidR="002207F1" w:rsidRDefault="002207F1" w:rsidP="00EB61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DD2926"/>
    <w:multiLevelType w:val="hybridMultilevel"/>
    <w:tmpl w:val="25A216AE"/>
    <w:lvl w:ilvl="0" w:tplc="4694F9F0">
      <w:start w:val="1"/>
      <w:numFmt w:val="decimal"/>
      <w:lvlText w:val="%1."/>
      <w:lvlJc w:val="left"/>
      <w:pPr>
        <w:tabs>
          <w:tab w:val="num" w:pos="420"/>
        </w:tabs>
        <w:ind w:left="420" w:hanging="420"/>
      </w:pPr>
      <w:rPr>
        <w:sz w:val="32"/>
        <w:szCs w:val="32"/>
      </w:rPr>
    </w:lvl>
    <w:lvl w:ilvl="1" w:tplc="0409000F">
      <w:start w:val="1"/>
      <w:numFmt w:val="decimal"/>
      <w:lvlText w:val="%2."/>
      <w:lvlJc w:val="left"/>
      <w:pPr>
        <w:tabs>
          <w:tab w:val="num" w:pos="840"/>
        </w:tabs>
        <w:ind w:left="840" w:hanging="420"/>
      </w:pPr>
      <w:rPr>
        <w:sz w:val="32"/>
        <w:szCs w:val="32"/>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CCA"/>
    <w:rsid w:val="00076ADF"/>
    <w:rsid w:val="000A07C8"/>
    <w:rsid w:val="002207F1"/>
    <w:rsid w:val="004223BF"/>
    <w:rsid w:val="009A6D36"/>
    <w:rsid w:val="00EB61EE"/>
    <w:rsid w:val="00F37C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23BF"/>
    <w:pPr>
      <w:widowControl w:val="0"/>
      <w:jc w:val="both"/>
    </w:pPr>
    <w:rPr>
      <w:rFonts w:ascii="Times New Roman" w:eastAsia="宋体" w:hAnsi="Times New Roman"/>
      <w:szCs w:val="24"/>
    </w:rPr>
  </w:style>
  <w:style w:type="paragraph" w:styleId="1">
    <w:name w:val="heading 1"/>
    <w:basedOn w:val="a"/>
    <w:next w:val="a"/>
    <w:link w:val="1Char"/>
    <w:uiPriority w:val="99"/>
    <w:qFormat/>
    <w:rsid w:val="00EB61EE"/>
    <w:pPr>
      <w:keepNext/>
      <w:keepLines/>
      <w:spacing w:before="340" w:after="330" w:line="578" w:lineRule="auto"/>
      <w:outlineLvl w:val="0"/>
    </w:pPr>
    <w:rPr>
      <w:rFonts w:cs="Times New Roman"/>
      <w:b/>
      <w:bCs/>
      <w:kern w:val="44"/>
      <w:sz w:val="28"/>
      <w:szCs w:val="28"/>
    </w:rPr>
  </w:style>
  <w:style w:type="paragraph" w:styleId="2">
    <w:name w:val="heading 2"/>
    <w:basedOn w:val="a"/>
    <w:next w:val="a"/>
    <w:link w:val="2Char1"/>
    <w:uiPriority w:val="99"/>
    <w:qFormat/>
    <w:rsid w:val="00EB61EE"/>
    <w:pPr>
      <w:keepNext/>
      <w:keepLines/>
      <w:spacing w:before="260" w:after="260" w:line="416" w:lineRule="auto"/>
      <w:outlineLvl w:val="1"/>
    </w:pPr>
    <w:rPr>
      <w:rFonts w:ascii="Cambria" w:hAnsi="Cambria" w:cs="Cambria"/>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Char"/>
    <w:uiPriority w:val="11"/>
    <w:qFormat/>
    <w:rsid w:val="004223BF"/>
    <w:pPr>
      <w:spacing w:before="240" w:after="60" w:line="312" w:lineRule="auto"/>
      <w:jc w:val="center"/>
      <w:outlineLvl w:val="1"/>
    </w:pPr>
    <w:rPr>
      <w:rFonts w:ascii="Cambria" w:hAnsi="Cambria" w:cs="Times New Roman"/>
      <w:b/>
      <w:bCs/>
      <w:kern w:val="28"/>
      <w:sz w:val="32"/>
      <w:szCs w:val="32"/>
    </w:rPr>
  </w:style>
  <w:style w:type="character" w:customStyle="1" w:styleId="Char">
    <w:name w:val="副标题 Char"/>
    <w:basedOn w:val="a0"/>
    <w:link w:val="a3"/>
    <w:uiPriority w:val="11"/>
    <w:rsid w:val="004223BF"/>
    <w:rPr>
      <w:rFonts w:ascii="Cambria" w:eastAsia="宋体" w:hAnsi="Cambria" w:cs="Times New Roman"/>
      <w:b/>
      <w:bCs/>
      <w:kern w:val="28"/>
      <w:sz w:val="32"/>
      <w:szCs w:val="32"/>
    </w:rPr>
  </w:style>
  <w:style w:type="paragraph" w:styleId="a4">
    <w:name w:val="header"/>
    <w:basedOn w:val="a"/>
    <w:link w:val="Char0"/>
    <w:uiPriority w:val="99"/>
    <w:unhideWhenUsed/>
    <w:rsid w:val="00EB61E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EB61EE"/>
    <w:rPr>
      <w:rFonts w:ascii="Times New Roman" w:eastAsia="宋体" w:hAnsi="Times New Roman"/>
      <w:sz w:val="18"/>
      <w:szCs w:val="18"/>
    </w:rPr>
  </w:style>
  <w:style w:type="paragraph" w:styleId="a5">
    <w:name w:val="footer"/>
    <w:basedOn w:val="a"/>
    <w:link w:val="Char1"/>
    <w:uiPriority w:val="99"/>
    <w:unhideWhenUsed/>
    <w:rsid w:val="00EB61EE"/>
    <w:pPr>
      <w:tabs>
        <w:tab w:val="center" w:pos="4153"/>
        <w:tab w:val="right" w:pos="8306"/>
      </w:tabs>
      <w:snapToGrid w:val="0"/>
      <w:jc w:val="left"/>
    </w:pPr>
    <w:rPr>
      <w:sz w:val="18"/>
      <w:szCs w:val="18"/>
    </w:rPr>
  </w:style>
  <w:style w:type="character" w:customStyle="1" w:styleId="Char1">
    <w:name w:val="页脚 Char"/>
    <w:basedOn w:val="a0"/>
    <w:link w:val="a5"/>
    <w:uiPriority w:val="99"/>
    <w:rsid w:val="00EB61EE"/>
    <w:rPr>
      <w:rFonts w:ascii="Times New Roman" w:eastAsia="宋体" w:hAnsi="Times New Roman"/>
      <w:sz w:val="18"/>
      <w:szCs w:val="18"/>
    </w:rPr>
  </w:style>
  <w:style w:type="character" w:customStyle="1" w:styleId="1Char">
    <w:name w:val="标题 1 Char"/>
    <w:basedOn w:val="a0"/>
    <w:link w:val="1"/>
    <w:uiPriority w:val="99"/>
    <w:rsid w:val="00EB61EE"/>
    <w:rPr>
      <w:rFonts w:ascii="Times New Roman" w:eastAsia="宋体" w:hAnsi="Times New Roman" w:cs="Times New Roman"/>
      <w:b/>
      <w:bCs/>
      <w:kern w:val="44"/>
      <w:sz w:val="28"/>
      <w:szCs w:val="28"/>
    </w:rPr>
  </w:style>
  <w:style w:type="character" w:customStyle="1" w:styleId="2Char">
    <w:name w:val="标题 2 Char"/>
    <w:basedOn w:val="a0"/>
    <w:uiPriority w:val="9"/>
    <w:semiHidden/>
    <w:rsid w:val="00EB61EE"/>
    <w:rPr>
      <w:rFonts w:asciiTheme="majorHAnsi" w:eastAsiaTheme="majorEastAsia" w:hAnsiTheme="majorHAnsi" w:cstheme="majorBidi"/>
      <w:b/>
      <w:bCs/>
      <w:sz w:val="32"/>
      <w:szCs w:val="32"/>
    </w:rPr>
  </w:style>
  <w:style w:type="character" w:customStyle="1" w:styleId="2Char1">
    <w:name w:val="标题 2 Char1"/>
    <w:basedOn w:val="a0"/>
    <w:link w:val="2"/>
    <w:uiPriority w:val="99"/>
    <w:locked/>
    <w:rsid w:val="00EB61EE"/>
    <w:rPr>
      <w:rFonts w:ascii="Cambria" w:eastAsia="宋体" w:hAnsi="Cambria" w:cs="Cambria"/>
      <w:b/>
      <w:bCs/>
      <w:kern w:val="0"/>
      <w:sz w:val="32"/>
      <w:szCs w:val="32"/>
    </w:rPr>
  </w:style>
  <w:style w:type="paragraph" w:styleId="a6">
    <w:name w:val="Balloon Text"/>
    <w:basedOn w:val="a"/>
    <w:link w:val="Char2"/>
    <w:uiPriority w:val="99"/>
    <w:semiHidden/>
    <w:unhideWhenUsed/>
    <w:rsid w:val="00EB61EE"/>
    <w:rPr>
      <w:sz w:val="18"/>
      <w:szCs w:val="18"/>
    </w:rPr>
  </w:style>
  <w:style w:type="character" w:customStyle="1" w:styleId="Char2">
    <w:name w:val="批注框文本 Char"/>
    <w:basedOn w:val="a0"/>
    <w:link w:val="a6"/>
    <w:uiPriority w:val="99"/>
    <w:semiHidden/>
    <w:rsid w:val="00EB61EE"/>
    <w:rPr>
      <w:rFonts w:ascii="Times New Roman" w:eastAsia="宋体" w:hAnsi="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23BF"/>
    <w:pPr>
      <w:widowControl w:val="0"/>
      <w:jc w:val="both"/>
    </w:pPr>
    <w:rPr>
      <w:rFonts w:ascii="Times New Roman" w:eastAsia="宋体" w:hAnsi="Times New Roman"/>
      <w:szCs w:val="24"/>
    </w:rPr>
  </w:style>
  <w:style w:type="paragraph" w:styleId="1">
    <w:name w:val="heading 1"/>
    <w:basedOn w:val="a"/>
    <w:next w:val="a"/>
    <w:link w:val="1Char"/>
    <w:uiPriority w:val="99"/>
    <w:qFormat/>
    <w:rsid w:val="00EB61EE"/>
    <w:pPr>
      <w:keepNext/>
      <w:keepLines/>
      <w:spacing w:before="340" w:after="330" w:line="578" w:lineRule="auto"/>
      <w:outlineLvl w:val="0"/>
    </w:pPr>
    <w:rPr>
      <w:rFonts w:cs="Times New Roman"/>
      <w:b/>
      <w:bCs/>
      <w:kern w:val="44"/>
      <w:sz w:val="28"/>
      <w:szCs w:val="28"/>
    </w:rPr>
  </w:style>
  <w:style w:type="paragraph" w:styleId="2">
    <w:name w:val="heading 2"/>
    <w:basedOn w:val="a"/>
    <w:next w:val="a"/>
    <w:link w:val="2Char1"/>
    <w:uiPriority w:val="99"/>
    <w:qFormat/>
    <w:rsid w:val="00EB61EE"/>
    <w:pPr>
      <w:keepNext/>
      <w:keepLines/>
      <w:spacing w:before="260" w:after="260" w:line="416" w:lineRule="auto"/>
      <w:outlineLvl w:val="1"/>
    </w:pPr>
    <w:rPr>
      <w:rFonts w:ascii="Cambria" w:hAnsi="Cambria" w:cs="Cambria"/>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Char"/>
    <w:uiPriority w:val="11"/>
    <w:qFormat/>
    <w:rsid w:val="004223BF"/>
    <w:pPr>
      <w:spacing w:before="240" w:after="60" w:line="312" w:lineRule="auto"/>
      <w:jc w:val="center"/>
      <w:outlineLvl w:val="1"/>
    </w:pPr>
    <w:rPr>
      <w:rFonts w:ascii="Cambria" w:hAnsi="Cambria" w:cs="Times New Roman"/>
      <w:b/>
      <w:bCs/>
      <w:kern w:val="28"/>
      <w:sz w:val="32"/>
      <w:szCs w:val="32"/>
    </w:rPr>
  </w:style>
  <w:style w:type="character" w:customStyle="1" w:styleId="Char">
    <w:name w:val="副标题 Char"/>
    <w:basedOn w:val="a0"/>
    <w:link w:val="a3"/>
    <w:uiPriority w:val="11"/>
    <w:rsid w:val="004223BF"/>
    <w:rPr>
      <w:rFonts w:ascii="Cambria" w:eastAsia="宋体" w:hAnsi="Cambria" w:cs="Times New Roman"/>
      <w:b/>
      <w:bCs/>
      <w:kern w:val="28"/>
      <w:sz w:val="32"/>
      <w:szCs w:val="32"/>
    </w:rPr>
  </w:style>
  <w:style w:type="paragraph" w:styleId="a4">
    <w:name w:val="header"/>
    <w:basedOn w:val="a"/>
    <w:link w:val="Char0"/>
    <w:uiPriority w:val="99"/>
    <w:unhideWhenUsed/>
    <w:rsid w:val="00EB61E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EB61EE"/>
    <w:rPr>
      <w:rFonts w:ascii="Times New Roman" w:eastAsia="宋体" w:hAnsi="Times New Roman"/>
      <w:sz w:val="18"/>
      <w:szCs w:val="18"/>
    </w:rPr>
  </w:style>
  <w:style w:type="paragraph" w:styleId="a5">
    <w:name w:val="footer"/>
    <w:basedOn w:val="a"/>
    <w:link w:val="Char1"/>
    <w:uiPriority w:val="99"/>
    <w:unhideWhenUsed/>
    <w:rsid w:val="00EB61EE"/>
    <w:pPr>
      <w:tabs>
        <w:tab w:val="center" w:pos="4153"/>
        <w:tab w:val="right" w:pos="8306"/>
      </w:tabs>
      <w:snapToGrid w:val="0"/>
      <w:jc w:val="left"/>
    </w:pPr>
    <w:rPr>
      <w:sz w:val="18"/>
      <w:szCs w:val="18"/>
    </w:rPr>
  </w:style>
  <w:style w:type="character" w:customStyle="1" w:styleId="Char1">
    <w:name w:val="页脚 Char"/>
    <w:basedOn w:val="a0"/>
    <w:link w:val="a5"/>
    <w:uiPriority w:val="99"/>
    <w:rsid w:val="00EB61EE"/>
    <w:rPr>
      <w:rFonts w:ascii="Times New Roman" w:eastAsia="宋体" w:hAnsi="Times New Roman"/>
      <w:sz w:val="18"/>
      <w:szCs w:val="18"/>
    </w:rPr>
  </w:style>
  <w:style w:type="character" w:customStyle="1" w:styleId="1Char">
    <w:name w:val="标题 1 Char"/>
    <w:basedOn w:val="a0"/>
    <w:link w:val="1"/>
    <w:uiPriority w:val="99"/>
    <w:rsid w:val="00EB61EE"/>
    <w:rPr>
      <w:rFonts w:ascii="Times New Roman" w:eastAsia="宋体" w:hAnsi="Times New Roman" w:cs="Times New Roman"/>
      <w:b/>
      <w:bCs/>
      <w:kern w:val="44"/>
      <w:sz w:val="28"/>
      <w:szCs w:val="28"/>
    </w:rPr>
  </w:style>
  <w:style w:type="character" w:customStyle="1" w:styleId="2Char">
    <w:name w:val="标题 2 Char"/>
    <w:basedOn w:val="a0"/>
    <w:uiPriority w:val="9"/>
    <w:semiHidden/>
    <w:rsid w:val="00EB61EE"/>
    <w:rPr>
      <w:rFonts w:asciiTheme="majorHAnsi" w:eastAsiaTheme="majorEastAsia" w:hAnsiTheme="majorHAnsi" w:cstheme="majorBidi"/>
      <w:b/>
      <w:bCs/>
      <w:sz w:val="32"/>
      <w:szCs w:val="32"/>
    </w:rPr>
  </w:style>
  <w:style w:type="character" w:customStyle="1" w:styleId="2Char1">
    <w:name w:val="标题 2 Char1"/>
    <w:basedOn w:val="a0"/>
    <w:link w:val="2"/>
    <w:uiPriority w:val="99"/>
    <w:locked/>
    <w:rsid w:val="00EB61EE"/>
    <w:rPr>
      <w:rFonts w:ascii="Cambria" w:eastAsia="宋体" w:hAnsi="Cambria" w:cs="Cambria"/>
      <w:b/>
      <w:bCs/>
      <w:kern w:val="0"/>
      <w:sz w:val="32"/>
      <w:szCs w:val="32"/>
    </w:rPr>
  </w:style>
  <w:style w:type="paragraph" w:styleId="a6">
    <w:name w:val="Balloon Text"/>
    <w:basedOn w:val="a"/>
    <w:link w:val="Char2"/>
    <w:uiPriority w:val="99"/>
    <w:semiHidden/>
    <w:unhideWhenUsed/>
    <w:rsid w:val="00EB61EE"/>
    <w:rPr>
      <w:sz w:val="18"/>
      <w:szCs w:val="18"/>
    </w:rPr>
  </w:style>
  <w:style w:type="character" w:customStyle="1" w:styleId="Char2">
    <w:name w:val="批注框文本 Char"/>
    <w:basedOn w:val="a0"/>
    <w:link w:val="a6"/>
    <w:uiPriority w:val="99"/>
    <w:semiHidden/>
    <w:rsid w:val="00EB61EE"/>
    <w:rPr>
      <w:rFonts w:ascii="Times New Roman" w:eastAsia="宋体"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347</Words>
  <Characters>1979</Characters>
  <Application>Microsoft Office Word</Application>
  <DocSecurity>0</DocSecurity>
  <Lines>16</Lines>
  <Paragraphs>4</Paragraphs>
  <ScaleCrop>false</ScaleCrop>
  <Company/>
  <LinksUpToDate>false</LinksUpToDate>
  <CharactersWithSpaces>2322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2014-07-11T12:28:00Z</dcterms:created>
  <dcterms:modified xsi:type="dcterms:W3CDTF">2014-07-11T12:29:00Z</dcterms:modified>
</cp:coreProperties>
</file>